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576BA" w14:textId="77777777" w:rsidR="00DF3882" w:rsidRPr="000273D9" w:rsidRDefault="00DF3882" w:rsidP="000273D9">
      <w:pPr>
        <w:numPr>
          <w:ilvl w:val="12"/>
          <w:numId w:val="0"/>
        </w:numPr>
        <w:jc w:val="center"/>
        <w:outlineLvl w:val="0"/>
        <w:rPr>
          <w:b/>
          <w:sz w:val="22"/>
          <w:lang w:val="ru-RU"/>
        </w:rPr>
      </w:pPr>
      <w:r w:rsidRPr="000273D9">
        <w:rPr>
          <w:b/>
          <w:sz w:val="22"/>
          <w:lang w:val="ru-RU"/>
        </w:rPr>
        <w:t>Приглашение к участию в торгах  – Первый этап</w:t>
      </w:r>
    </w:p>
    <w:p w14:paraId="1740BA17" w14:textId="77777777" w:rsidR="00707E5F" w:rsidRPr="000273D9" w:rsidRDefault="00707E5F" w:rsidP="000273D9">
      <w:pPr>
        <w:jc w:val="center"/>
        <w:rPr>
          <w:bCs/>
          <w:sz w:val="20"/>
          <w:lang w:val="ru-RU"/>
        </w:rPr>
      </w:pPr>
    </w:p>
    <w:p w14:paraId="292FC685" w14:textId="77777777" w:rsidR="00707E5F" w:rsidRPr="000273D9" w:rsidRDefault="00707E5F" w:rsidP="000273D9">
      <w:pPr>
        <w:numPr>
          <w:ilvl w:val="12"/>
          <w:numId w:val="0"/>
        </w:numPr>
        <w:jc w:val="center"/>
        <w:rPr>
          <w:rStyle w:val="preparersnote"/>
          <w:sz w:val="20"/>
          <w:lang w:val="ru-RU"/>
        </w:rPr>
      </w:pPr>
      <w:r w:rsidRPr="000273D9">
        <w:rPr>
          <w:rStyle w:val="preparersnote"/>
          <w:b w:val="0"/>
          <w:sz w:val="20"/>
          <w:lang w:val="ru-RU"/>
        </w:rPr>
        <w:t>Республика Таджикистан</w:t>
      </w:r>
    </w:p>
    <w:p w14:paraId="28DF9EB4" w14:textId="77777777" w:rsidR="00707E5F" w:rsidRPr="000273D9" w:rsidRDefault="00707E5F" w:rsidP="000273D9">
      <w:pPr>
        <w:numPr>
          <w:ilvl w:val="12"/>
          <w:numId w:val="0"/>
        </w:numPr>
        <w:jc w:val="center"/>
        <w:rPr>
          <w:rStyle w:val="preparersnote"/>
          <w:sz w:val="20"/>
          <w:lang w:val="ru-RU"/>
        </w:rPr>
      </w:pPr>
      <w:r w:rsidRPr="000273D9">
        <w:rPr>
          <w:rStyle w:val="preparersnote"/>
          <w:b w:val="0"/>
          <w:sz w:val="20"/>
          <w:lang w:val="ru-RU"/>
        </w:rPr>
        <w:t>Проект реформирования администрирования налогов</w:t>
      </w:r>
    </w:p>
    <w:p w14:paraId="25D836AF" w14:textId="77777777" w:rsidR="00707E5F" w:rsidRPr="000273D9" w:rsidRDefault="00707E5F" w:rsidP="000273D9">
      <w:pPr>
        <w:numPr>
          <w:ilvl w:val="12"/>
          <w:numId w:val="0"/>
        </w:numPr>
        <w:jc w:val="center"/>
        <w:rPr>
          <w:rStyle w:val="preparersnote"/>
          <w:sz w:val="20"/>
          <w:lang w:val="ru-RU"/>
        </w:rPr>
      </w:pPr>
      <w:r w:rsidRPr="000273D9">
        <w:rPr>
          <w:rStyle w:val="preparersnote"/>
          <w:b w:val="0"/>
          <w:sz w:val="20"/>
          <w:lang w:val="ru-RU"/>
        </w:rPr>
        <w:t>Закупка комплексной информационной системы администрирования налогов</w:t>
      </w:r>
    </w:p>
    <w:p w14:paraId="72B6A280" w14:textId="77777777" w:rsidR="00707E5F" w:rsidRPr="000273D9" w:rsidRDefault="00707E5F" w:rsidP="000273D9">
      <w:pPr>
        <w:numPr>
          <w:ilvl w:val="12"/>
          <w:numId w:val="0"/>
        </w:numPr>
        <w:jc w:val="center"/>
        <w:rPr>
          <w:rStyle w:val="preparersnote"/>
          <w:b w:val="0"/>
          <w:sz w:val="20"/>
        </w:rPr>
      </w:pPr>
      <w:r w:rsidRPr="000273D9">
        <w:rPr>
          <w:rStyle w:val="preparersnote"/>
          <w:b w:val="0"/>
          <w:sz w:val="20"/>
        </w:rPr>
        <w:t>H810-TJ</w:t>
      </w:r>
      <w:r w:rsidRPr="000273D9">
        <w:rPr>
          <w:rStyle w:val="Style1"/>
          <w:b w:val="0"/>
          <w:sz w:val="20"/>
        </w:rPr>
        <w:t xml:space="preserve"> </w:t>
      </w:r>
    </w:p>
    <w:p w14:paraId="6384FAEA" w14:textId="23EE0EC1" w:rsidR="00707E5F" w:rsidRPr="000273D9" w:rsidRDefault="00F969A9" w:rsidP="000273D9">
      <w:pPr>
        <w:numPr>
          <w:ilvl w:val="12"/>
          <w:numId w:val="0"/>
        </w:numPr>
        <w:jc w:val="center"/>
        <w:rPr>
          <w:rStyle w:val="preparersnote"/>
          <w:b w:val="0"/>
          <w:sz w:val="20"/>
        </w:rPr>
      </w:pPr>
      <w:r w:rsidRPr="000273D9">
        <w:rPr>
          <w:rStyle w:val="preparersnote"/>
          <w:b w:val="0"/>
          <w:sz w:val="20"/>
        </w:rPr>
        <w:t>TJTARP/G/ICB-09</w:t>
      </w:r>
    </w:p>
    <w:p w14:paraId="7F9ACAEE" w14:textId="77777777" w:rsidR="00707E5F" w:rsidRPr="000273D9" w:rsidRDefault="00707E5F" w:rsidP="000273D9">
      <w:pPr>
        <w:numPr>
          <w:ilvl w:val="12"/>
          <w:numId w:val="0"/>
        </w:numPr>
        <w:rPr>
          <w:sz w:val="20"/>
        </w:rPr>
      </w:pPr>
    </w:p>
    <w:p w14:paraId="70680A30" w14:textId="77777777" w:rsidR="00707E5F" w:rsidRPr="000273D9" w:rsidRDefault="00707E5F" w:rsidP="000273D9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z w:val="20"/>
          <w:lang w:val="ru-RU"/>
        </w:rPr>
      </w:pPr>
      <w:r w:rsidRPr="000273D9">
        <w:rPr>
          <w:sz w:val="20"/>
          <w:lang w:val="ru-RU"/>
        </w:rPr>
        <w:t>1.</w:t>
      </w:r>
      <w:r w:rsidRPr="000273D9">
        <w:rPr>
          <w:sz w:val="20"/>
          <w:lang w:val="ru-RU"/>
        </w:rPr>
        <w:tab/>
      </w:r>
      <w:r w:rsidRPr="000273D9">
        <w:rPr>
          <w:spacing w:val="-3"/>
          <w:sz w:val="20"/>
          <w:lang w:val="ru-RU"/>
        </w:rPr>
        <w:t>Настоящее Приглашение к участию в торгах (ПУТ) следует за публикацией Общего уведомления о закупках для данного проекта, которое было опубликовано в</w:t>
      </w:r>
      <w:r w:rsidRPr="000273D9">
        <w:rPr>
          <w:sz w:val="20"/>
          <w:lang w:val="ru-RU"/>
        </w:rPr>
        <w:t xml:space="preserve"> </w:t>
      </w:r>
      <w:r w:rsidRPr="000273D9">
        <w:rPr>
          <w:sz w:val="20"/>
        </w:rPr>
        <w:t>UNDB</w:t>
      </w:r>
      <w:r w:rsidRPr="000273D9">
        <w:rPr>
          <w:sz w:val="20"/>
          <w:lang w:val="ru-RU"/>
        </w:rPr>
        <w:t xml:space="preserve"> </w:t>
      </w:r>
      <w:r w:rsidRPr="000273D9">
        <w:rPr>
          <w:sz w:val="20"/>
        </w:rPr>
        <w:t>online</w:t>
      </w:r>
      <w:r w:rsidRPr="000273D9">
        <w:rPr>
          <w:spacing w:val="-3"/>
          <w:sz w:val="20"/>
          <w:lang w:val="ru-RU"/>
        </w:rPr>
        <w:t xml:space="preserve"> 14 июля 2014 г.</w:t>
      </w:r>
    </w:p>
    <w:p w14:paraId="625BCBD8" w14:textId="77777777" w:rsidR="00707E5F" w:rsidRPr="000273D9" w:rsidRDefault="00707E5F" w:rsidP="000273D9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z w:val="20"/>
          <w:lang w:val="ru-RU"/>
        </w:rPr>
      </w:pPr>
      <w:r w:rsidRPr="000273D9">
        <w:rPr>
          <w:sz w:val="20"/>
          <w:lang w:val="ru-RU"/>
        </w:rPr>
        <w:t>2.</w:t>
      </w:r>
      <w:r w:rsidRPr="000273D9">
        <w:rPr>
          <w:sz w:val="20"/>
          <w:lang w:val="ru-RU"/>
        </w:rPr>
        <w:tab/>
      </w:r>
      <w:r w:rsidRPr="000273D9">
        <w:rPr>
          <w:spacing w:val="-3"/>
          <w:sz w:val="20"/>
          <w:lang w:val="ru-RU"/>
        </w:rPr>
        <w:t>Республика Таджикистан получила Грант от Международной ассоциации развития в счёт стоимости Проекта реформирования администрирования налогов и намерена использовать часть средств этого кредита для осуществления платежей по контракту, который будет заключён на основании настоящего ПУТ: Информационная система управления персоналом</w:t>
      </w:r>
      <w:r w:rsidRPr="000273D9">
        <w:rPr>
          <w:i/>
          <w:spacing w:val="-3"/>
          <w:sz w:val="20"/>
          <w:lang w:val="ru-RU"/>
        </w:rPr>
        <w:t>.</w:t>
      </w:r>
    </w:p>
    <w:p w14:paraId="76A819C6" w14:textId="77777777" w:rsidR="00707E5F" w:rsidRPr="000273D9" w:rsidRDefault="00707E5F" w:rsidP="000273D9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3"/>
          <w:sz w:val="20"/>
          <w:lang w:val="ru-RU"/>
        </w:rPr>
      </w:pPr>
      <w:r w:rsidRPr="000273D9">
        <w:rPr>
          <w:sz w:val="20"/>
          <w:lang w:val="ru-RU"/>
        </w:rPr>
        <w:t>3.</w:t>
      </w:r>
      <w:r w:rsidRPr="000273D9">
        <w:rPr>
          <w:sz w:val="20"/>
          <w:lang w:val="ru-RU"/>
        </w:rPr>
        <w:tab/>
        <w:t xml:space="preserve">Налоговый комитет при Правительстве Республики </w:t>
      </w:r>
      <w:r w:rsidRPr="000273D9">
        <w:rPr>
          <w:spacing w:val="-3"/>
          <w:sz w:val="20"/>
          <w:lang w:val="ru-RU"/>
        </w:rPr>
        <w:t>является исполняющим ведомством по данному проекту и настоящим приглашает правомочных Участников торгов представить свои запечатанные конкурсные предложения на:</w:t>
      </w:r>
    </w:p>
    <w:p w14:paraId="29F1A7E2" w14:textId="1481E0D3" w:rsidR="00707E5F" w:rsidRPr="000273D9" w:rsidRDefault="00707E5F" w:rsidP="000273D9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spacing w:val="-3"/>
          <w:sz w:val="20"/>
          <w:lang w:val="ru-RU"/>
        </w:rPr>
      </w:pPr>
      <w:r w:rsidRPr="000273D9">
        <w:rPr>
          <w:rStyle w:val="preparersnote"/>
          <w:b w:val="0"/>
          <w:sz w:val="20"/>
          <w:lang w:val="ru-RU"/>
        </w:rPr>
        <w:t xml:space="preserve">Поставку, установку, конфигурирование, интеграцию и ввод в эксплуатацию </w:t>
      </w:r>
      <w:r w:rsidR="00F969A9" w:rsidRPr="000273D9">
        <w:rPr>
          <w:rStyle w:val="preparersnote"/>
          <w:b w:val="0"/>
          <w:sz w:val="20"/>
          <w:lang w:val="ru-RU"/>
        </w:rPr>
        <w:t>программного обеспечения</w:t>
      </w:r>
      <w:r w:rsidRPr="000273D9">
        <w:rPr>
          <w:rStyle w:val="preparersnote"/>
          <w:b w:val="0"/>
          <w:sz w:val="20"/>
          <w:lang w:val="ru-RU"/>
        </w:rPr>
        <w:t xml:space="preserve"> для комплексной информационной системы администрирования налогов (ИСУН). Контракт также включает обучение персонала Налогового комитета. </w:t>
      </w:r>
    </w:p>
    <w:p w14:paraId="36C252C2" w14:textId="77777777" w:rsidR="00707E5F" w:rsidRPr="000273D9" w:rsidRDefault="00707E5F" w:rsidP="000273D9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3"/>
          <w:sz w:val="20"/>
          <w:lang w:val="ru-RU"/>
        </w:rPr>
      </w:pPr>
      <w:r w:rsidRPr="000273D9">
        <w:rPr>
          <w:sz w:val="20"/>
          <w:lang w:val="ru-RU"/>
        </w:rPr>
        <w:t>4.</w:t>
      </w:r>
      <w:r w:rsidRPr="000273D9">
        <w:rPr>
          <w:sz w:val="20"/>
          <w:lang w:val="ru-RU"/>
        </w:rPr>
        <w:tab/>
      </w:r>
      <w:r w:rsidRPr="000273D9">
        <w:rPr>
          <w:spacing w:val="-3"/>
          <w:sz w:val="20"/>
          <w:lang w:val="ru-RU"/>
        </w:rPr>
        <w:t xml:space="preserve">Тендер будет проводиться с использованием процедуры Международных конкурсных торгов, изложенной в Руководстве Всемирного банка «Закупка товаров, работ и </w:t>
      </w:r>
      <w:proofErr w:type="spellStart"/>
      <w:r w:rsidRPr="000273D9">
        <w:rPr>
          <w:sz w:val="20"/>
          <w:lang w:val="ru-RU"/>
        </w:rPr>
        <w:t>неконсалтинговых</w:t>
      </w:r>
      <w:proofErr w:type="spellEnd"/>
      <w:r w:rsidRPr="000273D9">
        <w:rPr>
          <w:spacing w:val="-3"/>
          <w:sz w:val="20"/>
          <w:lang w:val="ru-RU"/>
        </w:rPr>
        <w:t xml:space="preserve"> услуг в рамках займов МБРР и кредитов/грантов МАР заёмщиками Всемирного Банка» (январь 2011), и в нем могут принять участие все участники из правомочных стран – в соответствии с определением этого термина в Руководстве, которые удовлетворяют следующим минимальным квалификационным критериям:</w:t>
      </w:r>
    </w:p>
    <w:p w14:paraId="57EDA528" w14:textId="77777777" w:rsidR="00707E5F" w:rsidRPr="000273D9" w:rsidRDefault="00707E5F" w:rsidP="000273D9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z w:val="20"/>
          <w:lang w:val="ru-RU"/>
        </w:rPr>
      </w:pPr>
    </w:p>
    <w:p w14:paraId="52E5D0B6" w14:textId="7CCFCDB1" w:rsidR="00707E5F" w:rsidRPr="000273D9" w:rsidRDefault="00FF7ACF" w:rsidP="000273D9">
      <w:pPr>
        <w:numPr>
          <w:ilvl w:val="0"/>
          <w:numId w:val="1"/>
        </w:numPr>
        <w:tabs>
          <w:tab w:val="clear" w:pos="1080"/>
          <w:tab w:val="left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В течение последних семи (7) лет (2010 – 2016) участник торгов имеет опыт в качестве генерального или головного исполнителя или партнёра совместного предприятия в реализации по крайней мере одной (1) информационной системы администрирования налогов, используя: (</w:t>
      </w:r>
      <w:r w:rsidRPr="000273D9">
        <w:rPr>
          <w:i/>
          <w:sz w:val="20"/>
          <w:lang w:val="en-GB"/>
        </w:rPr>
        <w:t>a</w:t>
      </w:r>
      <w:r w:rsidRPr="000273D9">
        <w:rPr>
          <w:i/>
          <w:sz w:val="20"/>
          <w:lang w:val="ru-RU"/>
        </w:rPr>
        <w:t>) готовые коммерческие продукты, предложенные в конкурсном предложении; или (</w:t>
      </w:r>
      <w:r w:rsidRPr="000273D9">
        <w:rPr>
          <w:i/>
          <w:sz w:val="20"/>
          <w:lang w:val="en-GB"/>
        </w:rPr>
        <w:t>b</w:t>
      </w:r>
      <w:r w:rsidRPr="000273D9">
        <w:rPr>
          <w:i/>
          <w:sz w:val="20"/>
          <w:lang w:val="ru-RU"/>
        </w:rPr>
        <w:t>) заказное программное обеспечение.</w:t>
      </w:r>
    </w:p>
    <w:p w14:paraId="5584C682" w14:textId="690CF030" w:rsidR="00707E5F" w:rsidRPr="000273D9" w:rsidRDefault="00FF7ACF" w:rsidP="000273D9">
      <w:pPr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В случае совместного предприятия такой контракт должен приходиться на долю ведущего партнёра, который действовал в качестве генерального или головного исполнителя или партнёра совместного предприятия;</w:t>
      </w:r>
    </w:p>
    <w:p w14:paraId="61C054BF" w14:textId="50782E36" w:rsidR="00707E5F" w:rsidRPr="000273D9" w:rsidRDefault="00707E5F" w:rsidP="000273D9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 xml:space="preserve">Участник торгов должен продемонстрировать реализацию, по крайней мере, одной (1) информационной системы </w:t>
      </w:r>
      <w:r w:rsidR="00C34A5B" w:rsidRPr="000273D9">
        <w:rPr>
          <w:i/>
          <w:sz w:val="20"/>
          <w:lang w:val="ru-RU"/>
        </w:rPr>
        <w:t>администрирования налогов</w:t>
      </w:r>
      <w:r w:rsidRPr="000273D9">
        <w:rPr>
          <w:i/>
          <w:sz w:val="20"/>
          <w:lang w:val="ru-RU"/>
        </w:rPr>
        <w:t xml:space="preserve"> как минимум для 1,000 зарегистрированных пользователей и не менее 100 одновременных пользователей;</w:t>
      </w:r>
    </w:p>
    <w:p w14:paraId="2A801654" w14:textId="62811765" w:rsidR="00707E5F" w:rsidRPr="000273D9" w:rsidRDefault="00707E5F" w:rsidP="000273D9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Участник торгов должен представить информацию о завершённых контрактах, в рамках которых использовались гото</w:t>
      </w:r>
      <w:r w:rsidR="00C34A5B" w:rsidRPr="000273D9">
        <w:rPr>
          <w:i/>
          <w:sz w:val="20"/>
          <w:lang w:val="ru-RU"/>
        </w:rPr>
        <w:t>вые коммерческие продукты</w:t>
      </w:r>
      <w:r w:rsidRPr="000273D9">
        <w:rPr>
          <w:i/>
          <w:sz w:val="20"/>
          <w:lang w:val="ru-RU"/>
        </w:rPr>
        <w:t>, предложенные в конкурсном предложении</w:t>
      </w:r>
      <w:r w:rsidR="00C34A5B" w:rsidRPr="000273D9">
        <w:rPr>
          <w:i/>
          <w:sz w:val="20"/>
          <w:lang w:val="ru-RU"/>
        </w:rPr>
        <w:t>, или заказное программное обеспечение по администрированию налогов</w:t>
      </w:r>
      <w:r w:rsidRPr="000273D9">
        <w:rPr>
          <w:i/>
          <w:sz w:val="20"/>
          <w:lang w:val="ru-RU"/>
        </w:rPr>
        <w:t xml:space="preserve">, </w:t>
      </w:r>
      <w:r w:rsidR="00C34A5B" w:rsidRPr="000273D9">
        <w:rPr>
          <w:i/>
          <w:sz w:val="20"/>
          <w:lang w:val="ru-RU"/>
        </w:rPr>
        <w:t xml:space="preserve">и </w:t>
      </w:r>
      <w:r w:rsidRPr="000273D9">
        <w:rPr>
          <w:i/>
          <w:sz w:val="20"/>
          <w:lang w:val="ru-RU"/>
        </w:rPr>
        <w:t>на которые будут даны ссылки как свидетельства соответствия квалификационным критериям, указанным выше в пунктах 4 (</w:t>
      </w:r>
      <w:proofErr w:type="spellStart"/>
      <w:r w:rsidRPr="000273D9">
        <w:rPr>
          <w:i/>
          <w:sz w:val="20"/>
          <w:lang w:val="en-GB"/>
        </w:rPr>
        <w:t>i</w:t>
      </w:r>
      <w:proofErr w:type="spellEnd"/>
      <w:r w:rsidRPr="000273D9">
        <w:rPr>
          <w:i/>
          <w:sz w:val="20"/>
          <w:lang w:val="ru-RU"/>
        </w:rPr>
        <w:t xml:space="preserve">) и </w:t>
      </w:r>
      <w:r w:rsidR="00C34A5B" w:rsidRPr="000273D9">
        <w:rPr>
          <w:i/>
          <w:sz w:val="20"/>
          <w:lang w:val="ru-RU"/>
        </w:rPr>
        <w:t>(</w:t>
      </w:r>
      <w:r w:rsidR="00C34A5B" w:rsidRPr="000273D9">
        <w:rPr>
          <w:i/>
          <w:sz w:val="20"/>
          <w:lang w:val="en-GB"/>
        </w:rPr>
        <w:t>ii</w:t>
      </w:r>
      <w:r w:rsidR="00C34A5B" w:rsidRPr="000273D9">
        <w:rPr>
          <w:i/>
          <w:sz w:val="20"/>
          <w:lang w:val="ru-RU"/>
        </w:rPr>
        <w:t xml:space="preserve">). Информация, среди прочего, должна включать </w:t>
      </w:r>
      <w:r w:rsidRPr="000273D9">
        <w:rPr>
          <w:i/>
          <w:sz w:val="20"/>
          <w:lang w:val="ru-RU"/>
        </w:rPr>
        <w:t>реквизиты клиентов, которые могут предс</w:t>
      </w:r>
      <w:r w:rsidR="00C34A5B" w:rsidRPr="000273D9">
        <w:rPr>
          <w:i/>
          <w:sz w:val="20"/>
          <w:lang w:val="ru-RU"/>
        </w:rPr>
        <w:t>тавить рекомендации или которых</w:t>
      </w:r>
      <w:r w:rsidR="00DA639E" w:rsidRPr="000273D9">
        <w:rPr>
          <w:i/>
          <w:sz w:val="20"/>
          <w:lang w:val="ru-RU"/>
        </w:rPr>
        <w:t xml:space="preserve">, при необходимости, </w:t>
      </w:r>
      <w:r w:rsidR="008E25DF" w:rsidRPr="000273D9">
        <w:rPr>
          <w:i/>
          <w:sz w:val="20"/>
          <w:lang w:val="ru-RU"/>
        </w:rPr>
        <w:t>Налоговый комитет</w:t>
      </w:r>
      <w:r w:rsidRPr="000273D9">
        <w:rPr>
          <w:i/>
          <w:sz w:val="20"/>
          <w:lang w:val="ru-RU"/>
        </w:rPr>
        <w:t xml:space="preserve"> может посетить</w:t>
      </w:r>
      <w:r w:rsidR="00DA639E" w:rsidRPr="000273D9">
        <w:rPr>
          <w:i/>
          <w:sz w:val="20"/>
          <w:lang w:val="ru-RU"/>
        </w:rPr>
        <w:t xml:space="preserve">, </w:t>
      </w:r>
      <w:r w:rsidRPr="000273D9">
        <w:rPr>
          <w:i/>
          <w:sz w:val="20"/>
          <w:lang w:val="ru-RU"/>
        </w:rPr>
        <w:t>чтобы ознакомиться с системами, внедрёнными участником торгов</w:t>
      </w:r>
      <w:r w:rsidR="00C34A5B" w:rsidRPr="000273D9">
        <w:rPr>
          <w:i/>
          <w:sz w:val="20"/>
          <w:lang w:val="ru-RU"/>
        </w:rPr>
        <w:t>, и их функциональным наполнением</w:t>
      </w:r>
      <w:r w:rsidR="00EA5F5C" w:rsidRPr="000273D9">
        <w:rPr>
          <w:i/>
          <w:sz w:val="20"/>
          <w:lang w:val="ru-RU"/>
        </w:rPr>
        <w:t>;</w:t>
      </w:r>
    </w:p>
    <w:p w14:paraId="0EE5606C" w14:textId="77777777" w:rsidR="00707E5F" w:rsidRPr="000273D9" w:rsidRDefault="00707E5F" w:rsidP="000273D9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Процедура разъяснения предложений первого этапа должна включать демонстрацию в действии функциональных возможностей и конфигурируемости ИСУН:</w:t>
      </w:r>
    </w:p>
    <w:p w14:paraId="10B0C2CA" w14:textId="3191F47D" w:rsidR="00707E5F" w:rsidRPr="000273D9" w:rsidRDefault="00707E5F" w:rsidP="000273D9">
      <w:pPr>
        <w:suppressAutoHyphens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-</w:t>
      </w:r>
      <w:r w:rsidRPr="000273D9">
        <w:rPr>
          <w:i/>
          <w:sz w:val="20"/>
          <w:lang w:val="ru-RU"/>
        </w:rPr>
        <w:tab/>
        <w:t>регистрация налогоплательщиков (компании);</w:t>
      </w:r>
    </w:p>
    <w:p w14:paraId="682D71A8" w14:textId="77777777" w:rsidR="00707E5F" w:rsidRPr="000273D9" w:rsidRDefault="00707E5F" w:rsidP="000273D9">
      <w:pPr>
        <w:suppressAutoHyphens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-</w:t>
      </w:r>
      <w:r w:rsidRPr="000273D9">
        <w:rPr>
          <w:i/>
          <w:sz w:val="20"/>
          <w:lang w:val="ru-RU"/>
        </w:rPr>
        <w:tab/>
        <w:t>профиль налогоплательщика;</w:t>
      </w:r>
    </w:p>
    <w:p w14:paraId="326E35AA" w14:textId="77777777" w:rsidR="00707E5F" w:rsidRPr="000273D9" w:rsidRDefault="00707E5F" w:rsidP="000273D9">
      <w:pPr>
        <w:suppressAutoHyphens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-</w:t>
      </w:r>
      <w:r w:rsidRPr="000273D9">
        <w:rPr>
          <w:i/>
          <w:sz w:val="20"/>
          <w:lang w:val="ru-RU"/>
        </w:rPr>
        <w:tab/>
        <w:t>профилирование рисков налогоплательщиков и сегментов налогоплательщиков;</w:t>
      </w:r>
    </w:p>
    <w:p w14:paraId="490D895B" w14:textId="475D1B6E" w:rsidR="00707E5F" w:rsidRPr="000273D9" w:rsidRDefault="00707E5F" w:rsidP="000273D9">
      <w:pPr>
        <w:suppressAutoHyphens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-</w:t>
      </w:r>
      <w:r w:rsidRPr="000273D9">
        <w:rPr>
          <w:i/>
          <w:sz w:val="20"/>
          <w:lang w:val="ru-RU"/>
        </w:rPr>
        <w:tab/>
        <w:t xml:space="preserve">подача декларации по НДС с использованием портала самообслуживания налогоплательщика и внесение бумажной налоговой декларации </w:t>
      </w:r>
      <w:r w:rsidR="00C34A5B" w:rsidRPr="000273D9">
        <w:rPr>
          <w:i/>
          <w:sz w:val="20"/>
          <w:lang w:val="ru-RU"/>
        </w:rPr>
        <w:t xml:space="preserve">в </w:t>
      </w:r>
      <w:r w:rsidRPr="000273D9">
        <w:rPr>
          <w:i/>
          <w:sz w:val="20"/>
          <w:lang w:val="ru-RU"/>
        </w:rPr>
        <w:t>операционном офисе Налогового комитета;</w:t>
      </w:r>
    </w:p>
    <w:p w14:paraId="275B56A8" w14:textId="3703EB88" w:rsidR="00707E5F" w:rsidRPr="000273D9" w:rsidRDefault="00707E5F" w:rsidP="000273D9">
      <w:pPr>
        <w:suppressAutoHyphens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-</w:t>
      </w:r>
      <w:r w:rsidRPr="000273D9">
        <w:rPr>
          <w:i/>
          <w:sz w:val="20"/>
          <w:lang w:val="ru-RU"/>
        </w:rPr>
        <w:tab/>
      </w:r>
      <w:r w:rsidR="00C34A5B" w:rsidRPr="000273D9">
        <w:rPr>
          <w:i/>
          <w:sz w:val="20"/>
          <w:lang w:val="ru-RU"/>
        </w:rPr>
        <w:t>электронное заполнение счетов-фактур по НДС;</w:t>
      </w:r>
    </w:p>
    <w:p w14:paraId="16ECAC2D" w14:textId="77777777" w:rsidR="00707E5F" w:rsidRPr="000273D9" w:rsidRDefault="00707E5F" w:rsidP="000273D9">
      <w:pPr>
        <w:suppressAutoHyphens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-</w:t>
      </w:r>
      <w:r w:rsidRPr="000273D9">
        <w:rPr>
          <w:i/>
          <w:sz w:val="20"/>
          <w:lang w:val="ru-RU"/>
        </w:rPr>
        <w:tab/>
        <w:t>формирование уведомления;</w:t>
      </w:r>
    </w:p>
    <w:p w14:paraId="1095FD69" w14:textId="77777777" w:rsidR="00707E5F" w:rsidRPr="000273D9" w:rsidRDefault="00707E5F" w:rsidP="000273D9">
      <w:pPr>
        <w:suppressAutoHyphens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-</w:t>
      </w:r>
      <w:r w:rsidRPr="000273D9">
        <w:rPr>
          <w:i/>
          <w:sz w:val="20"/>
          <w:lang w:val="ru-RU"/>
        </w:rPr>
        <w:tab/>
        <w:t>отчёты по учёту поступлений;</w:t>
      </w:r>
    </w:p>
    <w:p w14:paraId="61D1E2E5" w14:textId="3F4C471C" w:rsidR="00707E5F" w:rsidRPr="000273D9" w:rsidRDefault="00707E5F" w:rsidP="000273D9">
      <w:pPr>
        <w:suppressAutoHyphens/>
        <w:spacing w:after="12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-</w:t>
      </w:r>
      <w:r w:rsidRPr="000273D9">
        <w:rPr>
          <w:i/>
          <w:sz w:val="20"/>
          <w:lang w:val="ru-RU"/>
        </w:rPr>
        <w:tab/>
        <w:t xml:space="preserve">проведение изменений таких как </w:t>
      </w:r>
      <w:r w:rsidR="00C34A5B" w:rsidRPr="000273D9">
        <w:rPr>
          <w:i/>
          <w:sz w:val="20"/>
          <w:lang w:val="ru-RU"/>
        </w:rPr>
        <w:t>новые поля в форме НДС и</w:t>
      </w:r>
      <w:r w:rsidRPr="000273D9">
        <w:rPr>
          <w:i/>
          <w:sz w:val="20"/>
          <w:lang w:val="ru-RU"/>
        </w:rPr>
        <w:t xml:space="preserve"> организационные изменения в Налоговом комитете.</w:t>
      </w:r>
    </w:p>
    <w:p w14:paraId="4FE40C3F" w14:textId="3FDE04C4" w:rsidR="00D16A2D" w:rsidRPr="000273D9" w:rsidRDefault="00C93D12" w:rsidP="000273D9">
      <w:pPr>
        <w:suppressAutoHyphens/>
        <w:spacing w:after="12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Участник</w:t>
      </w:r>
      <w:r w:rsidR="00D16A2D" w:rsidRPr="000273D9">
        <w:rPr>
          <w:i/>
          <w:sz w:val="20"/>
          <w:lang w:val="ru-RU"/>
        </w:rPr>
        <w:t xml:space="preserve"> торгов </w:t>
      </w:r>
      <w:r w:rsidR="00D16A2D" w:rsidRPr="000273D9">
        <w:rPr>
          <w:b/>
          <w:i/>
          <w:sz w:val="20"/>
          <w:lang w:val="ru-RU"/>
        </w:rPr>
        <w:t xml:space="preserve">не </w:t>
      </w:r>
      <w:r w:rsidRPr="000273D9">
        <w:rPr>
          <w:b/>
          <w:i/>
          <w:sz w:val="20"/>
          <w:lang w:val="ru-RU"/>
        </w:rPr>
        <w:t>вправе</w:t>
      </w:r>
      <w:r w:rsidRPr="000273D9">
        <w:rPr>
          <w:i/>
          <w:sz w:val="20"/>
          <w:lang w:val="ru-RU"/>
        </w:rPr>
        <w:t xml:space="preserve"> отказаться от просьбы </w:t>
      </w:r>
      <w:r w:rsidR="00D16A2D" w:rsidRPr="000273D9">
        <w:rPr>
          <w:i/>
          <w:sz w:val="20"/>
          <w:lang w:val="ru-RU"/>
        </w:rPr>
        <w:t xml:space="preserve">Заказчика относительно </w:t>
      </w:r>
      <w:r w:rsidRPr="000273D9">
        <w:rPr>
          <w:i/>
          <w:sz w:val="20"/>
          <w:lang w:val="ru-RU"/>
        </w:rPr>
        <w:t>организации и проведения данной демонстрации.</w:t>
      </w:r>
    </w:p>
    <w:p w14:paraId="4BFA59B6" w14:textId="3AC75FA6" w:rsidR="00707E5F" w:rsidRPr="000273D9" w:rsidRDefault="00707E5F" w:rsidP="000273D9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 xml:space="preserve">Средний годовой оборот за последние три года должен быть не менее </w:t>
      </w:r>
      <w:r w:rsidR="00C93D12" w:rsidRPr="000273D9">
        <w:rPr>
          <w:i/>
          <w:sz w:val="20"/>
          <w:lang w:val="ru-RU"/>
        </w:rPr>
        <w:t>семи</w:t>
      </w:r>
      <w:r w:rsidRPr="000273D9">
        <w:rPr>
          <w:i/>
          <w:sz w:val="20"/>
          <w:lang w:val="ru-RU"/>
        </w:rPr>
        <w:t xml:space="preserve"> милли</w:t>
      </w:r>
      <w:r w:rsidR="00C93D12" w:rsidRPr="000273D9">
        <w:rPr>
          <w:i/>
          <w:sz w:val="20"/>
          <w:lang w:val="ru-RU"/>
        </w:rPr>
        <w:t>онов (7</w:t>
      </w:r>
      <w:r w:rsidRPr="000273D9">
        <w:rPr>
          <w:i/>
          <w:sz w:val="20"/>
          <w:lang w:val="ru-RU"/>
        </w:rPr>
        <w:t>,000,000) долларов США</w:t>
      </w:r>
      <w:r w:rsidRPr="000273D9">
        <w:rPr>
          <w:i/>
          <w:spacing w:val="-2"/>
          <w:sz w:val="20"/>
          <w:szCs w:val="24"/>
          <w:lang w:val="ru-RU"/>
        </w:rPr>
        <w:t>.</w:t>
      </w:r>
    </w:p>
    <w:p w14:paraId="5E5071E2" w14:textId="13B370C0" w:rsidR="00707E5F" w:rsidRPr="000273D9" w:rsidRDefault="00707E5F" w:rsidP="000273D9">
      <w:pPr>
        <w:spacing w:after="12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 xml:space="preserve">В случае совместного предприятия </w:t>
      </w:r>
      <w:r w:rsidR="00C93D12" w:rsidRPr="000273D9">
        <w:rPr>
          <w:i/>
          <w:sz w:val="20"/>
          <w:lang w:val="ru-RU"/>
        </w:rPr>
        <w:t>75</w:t>
      </w:r>
      <w:r w:rsidRPr="000273D9">
        <w:rPr>
          <w:i/>
          <w:sz w:val="20"/>
          <w:lang w:val="ru-RU"/>
        </w:rPr>
        <w:t xml:space="preserve">% от среднего годового оборота должно приходиться на ведущего партнёра. Участник торгов должен представить прошедшую аудит финансовую отчётность, включая балансовый отчёт, или банковские выписки, или балансовый отчёт, удостоверенный бухгалтером и подкреплённый налоговой декларацией за </w:t>
      </w:r>
      <w:r w:rsidRPr="000273D9">
        <w:rPr>
          <w:i/>
          <w:sz w:val="20"/>
          <w:lang w:val="ru-RU"/>
        </w:rPr>
        <w:lastRenderedPageBreak/>
        <w:t>последние три года (2013, 2014 и 2015), чтобы продемонстрировать текущую финансовую состоятельность и ожидаемую долгосрочную рентабельность;</w:t>
      </w:r>
    </w:p>
    <w:p w14:paraId="4F2DD1FA" w14:textId="1C7C935F" w:rsidR="00707E5F" w:rsidRPr="000273D9" w:rsidRDefault="00707E5F" w:rsidP="000273D9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sz w:val="20"/>
          <w:szCs w:val="24"/>
          <w:lang w:val="ru-RU"/>
        </w:rPr>
        <w:t>Наличие, или доступ к, ликвидных активов, необременённых материальных ценностей, кредитных линий или других финансовых средств (независимо от авансовых платежей по контрактам), достаточных для удовлетворения требования к наличию денежных сре</w:t>
      </w:r>
      <w:r w:rsidR="0052634D" w:rsidRPr="000273D9">
        <w:rPr>
          <w:i/>
          <w:sz w:val="20"/>
          <w:szCs w:val="24"/>
          <w:lang w:val="ru-RU"/>
        </w:rPr>
        <w:t>дств и оцениваемых в размере пятисот тысяч (5</w:t>
      </w:r>
      <w:r w:rsidRPr="000273D9">
        <w:rPr>
          <w:i/>
          <w:sz w:val="20"/>
          <w:szCs w:val="24"/>
          <w:lang w:val="ru-RU"/>
        </w:rPr>
        <w:t>00,000) долларов США, для данного контракта за вычетом других обязательств участника торгов.</w:t>
      </w:r>
    </w:p>
    <w:p w14:paraId="2BDD4CB9" w14:textId="6462FE83" w:rsidR="00707E5F" w:rsidRPr="000273D9" w:rsidRDefault="00707E5F" w:rsidP="000273D9">
      <w:pPr>
        <w:spacing w:after="120"/>
        <w:jc w:val="both"/>
        <w:rPr>
          <w:i/>
          <w:sz w:val="20"/>
          <w:szCs w:val="24"/>
          <w:lang w:val="ru-RU"/>
        </w:rPr>
      </w:pPr>
      <w:r w:rsidRPr="000273D9">
        <w:rPr>
          <w:i/>
          <w:sz w:val="20"/>
          <w:lang w:val="ru-RU"/>
        </w:rPr>
        <w:t xml:space="preserve">В случае совместного предприятия </w:t>
      </w:r>
      <w:r w:rsidR="0052634D" w:rsidRPr="000273D9">
        <w:rPr>
          <w:i/>
          <w:sz w:val="20"/>
          <w:lang w:val="ru-RU"/>
        </w:rPr>
        <w:t>75</w:t>
      </w:r>
      <w:r w:rsidRPr="000273D9">
        <w:rPr>
          <w:i/>
          <w:sz w:val="20"/>
          <w:lang w:val="ru-RU"/>
        </w:rPr>
        <w:t xml:space="preserve">% </w:t>
      </w:r>
      <w:r w:rsidRPr="000273D9">
        <w:rPr>
          <w:i/>
          <w:sz w:val="20"/>
          <w:szCs w:val="24"/>
          <w:lang w:val="ru-RU"/>
        </w:rPr>
        <w:t xml:space="preserve">требования к наличию денежных средств должно приходиться на ведущего партнёра. </w:t>
      </w:r>
    </w:p>
    <w:p w14:paraId="63D51412" w14:textId="77777777" w:rsidR="00707E5F" w:rsidRPr="000273D9" w:rsidRDefault="00707E5F" w:rsidP="000273D9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В состав проектной группы участника торгов должны входить среди прочих экспертов эксперт по модернизации администрирования налогов, руководитель проекта и, по крайней мере, один эксперт по преобразованию данных и интеграции систем, чьи квалификации и опыт соответствуют минимальным требованиям, указанным в тендерных документах;</w:t>
      </w:r>
    </w:p>
    <w:p w14:paraId="006FDF98" w14:textId="2A715195" w:rsidR="00707E5F" w:rsidRPr="000273D9" w:rsidRDefault="00707E5F" w:rsidP="000273D9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Участник торгов должен представить доверенности от производителей СУБД и готовых коммерческих продуктов</w:t>
      </w:r>
      <w:r w:rsidR="00063E80" w:rsidRPr="000273D9">
        <w:rPr>
          <w:i/>
          <w:sz w:val="20"/>
          <w:lang w:val="ru-RU"/>
        </w:rPr>
        <w:t xml:space="preserve"> по администрированию налогов (только для технических решений, основанных на готовых коммерческих продуктов)</w:t>
      </w:r>
      <w:r w:rsidRPr="000273D9">
        <w:rPr>
          <w:i/>
          <w:sz w:val="20"/>
          <w:lang w:val="ru-RU"/>
        </w:rPr>
        <w:t>;</w:t>
      </w:r>
    </w:p>
    <w:p w14:paraId="5EE170A8" w14:textId="30DFB8F4" w:rsidR="00707E5F" w:rsidRPr="000273D9" w:rsidRDefault="00707E5F" w:rsidP="000273D9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sz w:val="20"/>
          <w:szCs w:val="24"/>
          <w:lang w:val="ru-RU"/>
        </w:rPr>
        <w:t>Участник торгов должен иметь сертификат ISO9000 или аналогичный относительно управления процессами. Участник торгов должен предоставить копию сертификата соответствия, выпущенного органа</w:t>
      </w:r>
      <w:r w:rsidR="00063E80" w:rsidRPr="000273D9">
        <w:rPr>
          <w:i/>
          <w:sz w:val="20"/>
          <w:szCs w:val="24"/>
          <w:lang w:val="ru-RU"/>
        </w:rPr>
        <w:t>ми сертификации</w:t>
      </w:r>
      <w:r w:rsidRPr="000273D9">
        <w:rPr>
          <w:i/>
          <w:sz w:val="20"/>
          <w:szCs w:val="24"/>
          <w:lang w:val="ru-RU"/>
        </w:rPr>
        <w:t>;</w:t>
      </w:r>
    </w:p>
    <w:p w14:paraId="09ABBDD8" w14:textId="69C889A4" w:rsidR="00707E5F" w:rsidRPr="000273D9" w:rsidRDefault="00707E5F" w:rsidP="000273D9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color w:val="000000"/>
          <w:sz w:val="20"/>
          <w:szCs w:val="24"/>
          <w:lang w:val="ru-RU"/>
        </w:rPr>
        <w:t xml:space="preserve">Участник торгов должен иметь опыт обучения персонала заказчиков по предыдущим контрактам, связанным с внедрением информационных систем </w:t>
      </w:r>
      <w:r w:rsidR="00CF04AF" w:rsidRPr="000273D9">
        <w:rPr>
          <w:i/>
          <w:color w:val="000000"/>
          <w:sz w:val="20"/>
          <w:szCs w:val="24"/>
          <w:lang w:val="ru-RU"/>
        </w:rPr>
        <w:t>администрирования налогов</w:t>
      </w:r>
      <w:r w:rsidRPr="000273D9">
        <w:rPr>
          <w:i/>
          <w:color w:val="000000"/>
          <w:sz w:val="20"/>
          <w:szCs w:val="24"/>
          <w:lang w:val="ru-RU"/>
        </w:rPr>
        <w:t xml:space="preserve"> в секторе государственного управления</w:t>
      </w:r>
      <w:r w:rsidR="00063E80" w:rsidRPr="000273D9">
        <w:rPr>
          <w:i/>
          <w:color w:val="000000"/>
          <w:sz w:val="20"/>
          <w:szCs w:val="24"/>
          <w:lang w:val="ru-RU"/>
        </w:rPr>
        <w:t>;</w:t>
      </w:r>
      <w:r w:rsidR="00CF04AF" w:rsidRPr="000273D9">
        <w:rPr>
          <w:i/>
          <w:color w:val="000000"/>
          <w:sz w:val="20"/>
          <w:szCs w:val="24"/>
          <w:lang w:val="ru-RU"/>
        </w:rPr>
        <w:t xml:space="preserve"> и</w:t>
      </w:r>
    </w:p>
    <w:p w14:paraId="1187A113" w14:textId="5FCC214D" w:rsidR="00063E80" w:rsidRPr="000273D9" w:rsidRDefault="005F24F0" w:rsidP="000273D9">
      <w:pPr>
        <w:numPr>
          <w:ilvl w:val="0"/>
          <w:numId w:val="1"/>
        </w:numPr>
        <w:tabs>
          <w:tab w:val="clear" w:pos="1080"/>
          <w:tab w:val="num" w:pos="1440"/>
        </w:tabs>
        <w:suppressAutoHyphens/>
        <w:spacing w:after="120"/>
        <w:ind w:left="0" w:firstLine="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 xml:space="preserve">если Участник торгов не осуществляет никакой деятельности в стране </w:t>
      </w:r>
      <w:r w:rsidR="0043460D" w:rsidRPr="000273D9">
        <w:rPr>
          <w:i/>
          <w:sz w:val="20"/>
          <w:lang w:val="ru-RU"/>
        </w:rPr>
        <w:t>Заказчика</w:t>
      </w:r>
      <w:r w:rsidRPr="000273D9">
        <w:rPr>
          <w:i/>
          <w:sz w:val="20"/>
          <w:lang w:val="ru-RU"/>
        </w:rPr>
        <w:t xml:space="preserve"> – его интересы в этой стране </w:t>
      </w:r>
      <w:r w:rsidR="0043460D" w:rsidRPr="000273D9">
        <w:rPr>
          <w:i/>
          <w:sz w:val="20"/>
          <w:lang w:val="ru-RU"/>
        </w:rPr>
        <w:t>должен представля</w:t>
      </w:r>
      <w:r w:rsidRPr="000273D9">
        <w:rPr>
          <w:i/>
          <w:sz w:val="20"/>
          <w:lang w:val="ru-RU"/>
        </w:rPr>
        <w:t>т</w:t>
      </w:r>
      <w:r w:rsidR="0043460D" w:rsidRPr="000273D9">
        <w:rPr>
          <w:i/>
          <w:sz w:val="20"/>
          <w:lang w:val="ru-RU"/>
        </w:rPr>
        <w:t>ь</w:t>
      </w:r>
      <w:r w:rsidRPr="000273D9">
        <w:rPr>
          <w:i/>
          <w:sz w:val="20"/>
          <w:lang w:val="ru-RU"/>
        </w:rPr>
        <w:t xml:space="preserve"> (в случае присуждения Контракта) Агент, который имеет соответствующее оснащение и может выполнять обязанности Участника торгов по сервисному обслуживанию, технической поддержке, обучению персонала и </w:t>
      </w:r>
      <w:r w:rsidR="0043460D" w:rsidRPr="000273D9">
        <w:rPr>
          <w:i/>
          <w:sz w:val="20"/>
          <w:lang w:val="ru-RU"/>
        </w:rPr>
        <w:t>другие обязательства, оговорё</w:t>
      </w:r>
      <w:r w:rsidRPr="000273D9">
        <w:rPr>
          <w:i/>
          <w:sz w:val="20"/>
          <w:lang w:val="ru-RU"/>
        </w:rPr>
        <w:t xml:space="preserve">нные в </w:t>
      </w:r>
      <w:r w:rsidR="0043460D" w:rsidRPr="000273D9">
        <w:rPr>
          <w:i/>
          <w:sz w:val="20"/>
          <w:lang w:val="ru-RU"/>
        </w:rPr>
        <w:t>контракте</w:t>
      </w:r>
      <w:r w:rsidRPr="000273D9">
        <w:rPr>
          <w:i/>
          <w:sz w:val="20"/>
          <w:lang w:val="ru-RU"/>
        </w:rPr>
        <w:t xml:space="preserve"> и Технических требованиях.</w:t>
      </w:r>
    </w:p>
    <w:p w14:paraId="1C9EBA1F" w14:textId="2088B97A" w:rsidR="00707E5F" w:rsidRPr="000273D9" w:rsidRDefault="00707E5F" w:rsidP="000273D9">
      <w:pPr>
        <w:suppressAutoHyphens/>
        <w:spacing w:after="120"/>
        <w:jc w:val="both"/>
        <w:rPr>
          <w:i/>
          <w:sz w:val="20"/>
          <w:lang w:val="ru-RU"/>
        </w:rPr>
      </w:pPr>
      <w:r w:rsidRPr="000273D9">
        <w:rPr>
          <w:i/>
          <w:sz w:val="20"/>
          <w:lang w:val="ru-RU"/>
        </w:rPr>
        <w:t>Приветствуется объединение участников торгов с местной(</w:t>
      </w:r>
      <w:proofErr w:type="spellStart"/>
      <w:r w:rsidRPr="000273D9">
        <w:rPr>
          <w:i/>
          <w:sz w:val="20"/>
          <w:lang w:val="ru-RU"/>
        </w:rPr>
        <w:t>ыми</w:t>
      </w:r>
      <w:proofErr w:type="spellEnd"/>
      <w:r w:rsidRPr="000273D9">
        <w:rPr>
          <w:i/>
          <w:sz w:val="20"/>
          <w:lang w:val="ru-RU"/>
        </w:rPr>
        <w:t>) компанией(</w:t>
      </w:r>
      <w:proofErr w:type="spellStart"/>
      <w:r w:rsidRPr="000273D9">
        <w:rPr>
          <w:i/>
          <w:sz w:val="20"/>
          <w:lang w:val="ru-RU"/>
        </w:rPr>
        <w:t>ями</w:t>
      </w:r>
      <w:proofErr w:type="spellEnd"/>
      <w:r w:rsidRPr="000273D9">
        <w:rPr>
          <w:i/>
          <w:sz w:val="20"/>
          <w:lang w:val="ru-RU"/>
        </w:rPr>
        <w:t>) и экспертами для более полного соответствия требованиям локализации и улучшения понимания соответствующего национального законодательства, административной системы</w:t>
      </w:r>
      <w:r w:rsidR="006B5D78" w:rsidRPr="000273D9">
        <w:rPr>
          <w:i/>
          <w:sz w:val="20"/>
          <w:lang w:val="ru-RU"/>
        </w:rPr>
        <w:t>, администрирования налогов</w:t>
      </w:r>
      <w:r w:rsidRPr="000273D9">
        <w:rPr>
          <w:i/>
          <w:sz w:val="20"/>
          <w:lang w:val="ru-RU"/>
        </w:rPr>
        <w:t xml:space="preserve"> и вопросов развития ИТ сектора.</w:t>
      </w:r>
    </w:p>
    <w:p w14:paraId="10570903" w14:textId="77777777" w:rsidR="00707E5F" w:rsidRPr="000273D9" w:rsidRDefault="00707E5F" w:rsidP="000273D9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spacing w:val="-2"/>
          <w:sz w:val="20"/>
          <w:lang w:val="ru-RU"/>
        </w:rPr>
      </w:pPr>
      <w:r w:rsidRPr="000273D9">
        <w:rPr>
          <w:sz w:val="20"/>
          <w:lang w:val="ru-RU"/>
        </w:rPr>
        <w:t>5.</w:t>
      </w:r>
      <w:r w:rsidRPr="000273D9">
        <w:rPr>
          <w:sz w:val="20"/>
          <w:lang w:val="ru-RU"/>
        </w:rPr>
        <w:tab/>
      </w:r>
      <w:r w:rsidRPr="000273D9">
        <w:rPr>
          <w:spacing w:val="-3"/>
          <w:sz w:val="20"/>
          <w:lang w:val="ru-RU"/>
        </w:rPr>
        <w:t xml:space="preserve">Заинтересованные правомочные участники торгов могут получить дополнительную информацию в Налоговом комитете и изучить документацию конкурсных торгов по указанному далее адресу (1) </w:t>
      </w:r>
      <w:r w:rsidRPr="000273D9">
        <w:rPr>
          <w:spacing w:val="-2"/>
          <w:sz w:val="20"/>
          <w:lang w:val="ru-RU"/>
        </w:rPr>
        <w:t>с 09:00 до 17:00 (время душанбинское) с понедельника по пятницу.</w:t>
      </w:r>
    </w:p>
    <w:p w14:paraId="76017215" w14:textId="326CA0B5" w:rsidR="00707E5F" w:rsidRPr="000273D9" w:rsidRDefault="00707E5F" w:rsidP="000273D9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sz w:val="20"/>
          <w:lang w:val="ru-RU"/>
        </w:rPr>
      </w:pPr>
      <w:proofErr w:type="spellStart"/>
      <w:r w:rsidRPr="000273D9">
        <w:rPr>
          <w:spacing w:val="-2"/>
          <w:sz w:val="20"/>
          <w:lang w:val="ru-RU"/>
        </w:rPr>
        <w:t>Предтендерная</w:t>
      </w:r>
      <w:proofErr w:type="spellEnd"/>
      <w:r w:rsidRPr="000273D9">
        <w:rPr>
          <w:spacing w:val="-2"/>
          <w:sz w:val="20"/>
          <w:lang w:val="ru-RU"/>
        </w:rPr>
        <w:t xml:space="preserve"> конференция, в которой могут участвовать потенциальные участники торгов, состоится в 14</w:t>
      </w:r>
      <w:r w:rsidR="006B5D78" w:rsidRPr="000273D9">
        <w:rPr>
          <w:spacing w:val="-2"/>
          <w:sz w:val="20"/>
          <w:lang w:val="ru-RU"/>
        </w:rPr>
        <w:t>:00 (душанбинское время) 18</w:t>
      </w:r>
      <w:r w:rsidRPr="000273D9">
        <w:rPr>
          <w:spacing w:val="-2"/>
          <w:sz w:val="20"/>
          <w:lang w:val="ru-RU"/>
        </w:rPr>
        <w:t xml:space="preserve"> </w:t>
      </w:r>
      <w:r w:rsidR="006B5D78" w:rsidRPr="000273D9">
        <w:rPr>
          <w:spacing w:val="-2"/>
          <w:sz w:val="20"/>
          <w:lang w:val="ru-RU"/>
        </w:rPr>
        <w:t>августа 2017</w:t>
      </w:r>
      <w:r w:rsidRPr="000273D9">
        <w:rPr>
          <w:spacing w:val="-2"/>
          <w:sz w:val="20"/>
          <w:lang w:val="ru-RU"/>
        </w:rPr>
        <w:t xml:space="preserve"> г.</w:t>
      </w:r>
    </w:p>
    <w:p w14:paraId="30828019" w14:textId="77777777" w:rsidR="00707E5F" w:rsidRPr="000273D9" w:rsidRDefault="00707E5F" w:rsidP="000273D9">
      <w:pPr>
        <w:numPr>
          <w:ilvl w:val="12"/>
          <w:numId w:val="0"/>
        </w:numPr>
        <w:spacing w:after="120"/>
        <w:jc w:val="both"/>
        <w:rPr>
          <w:sz w:val="20"/>
          <w:lang w:val="ru-RU"/>
        </w:rPr>
      </w:pPr>
      <w:r w:rsidRPr="000273D9">
        <w:rPr>
          <w:sz w:val="20"/>
          <w:lang w:val="ru-RU"/>
        </w:rPr>
        <w:t>6.</w:t>
      </w:r>
      <w:r w:rsidRPr="000273D9">
        <w:rPr>
          <w:sz w:val="20"/>
          <w:lang w:val="ru-RU"/>
        </w:rPr>
        <w:tab/>
      </w:r>
      <w:r w:rsidRPr="000273D9">
        <w:rPr>
          <w:spacing w:val="-3"/>
          <w:sz w:val="20"/>
          <w:lang w:val="ru-RU"/>
        </w:rPr>
        <w:t xml:space="preserve">Заинтересованные участники торгов могут приобрести полный комплект документации конкурсных торгов на английском языке после того, как они направят письменную заявку по адресу (1), указанному ниже, и оплатят невозвращаемый комиссионный сбор в размере 200 долларов США или таджикских </w:t>
      </w:r>
      <w:proofErr w:type="spellStart"/>
      <w:r w:rsidRPr="000273D9">
        <w:rPr>
          <w:spacing w:val="-3"/>
          <w:sz w:val="20"/>
          <w:lang w:val="ru-RU"/>
        </w:rPr>
        <w:t>сомони</w:t>
      </w:r>
      <w:proofErr w:type="spellEnd"/>
      <w:r w:rsidRPr="000273D9">
        <w:rPr>
          <w:spacing w:val="-3"/>
          <w:sz w:val="20"/>
          <w:lang w:val="ru-RU"/>
        </w:rPr>
        <w:t xml:space="preserve"> по курсу, установленному Национальным Банком Республики Таджикистан на момент платежа. Платёж осуществляется прямым банковским переводом на один из следующих банковских счетов</w:t>
      </w:r>
      <w:r w:rsidRPr="000273D9">
        <w:rPr>
          <w:sz w:val="20"/>
          <w:lang w:val="ru-RU"/>
        </w:rPr>
        <w:t>:</w:t>
      </w:r>
    </w:p>
    <w:tbl>
      <w:tblPr>
        <w:tblW w:w="9570" w:type="dxa"/>
        <w:tblInd w:w="198" w:type="dxa"/>
        <w:tblLook w:val="04A0" w:firstRow="1" w:lastRow="0" w:firstColumn="1" w:lastColumn="0" w:noHBand="0" w:noVBand="1"/>
      </w:tblPr>
      <w:tblGrid>
        <w:gridCol w:w="5105"/>
        <w:gridCol w:w="4465"/>
      </w:tblGrid>
      <w:tr w:rsidR="00707E5F" w:rsidRPr="000273D9" w14:paraId="0B541213" w14:textId="77777777" w:rsidTr="000273D9">
        <w:trPr>
          <w:trHeight w:val="245"/>
        </w:trPr>
        <w:tc>
          <w:tcPr>
            <w:tcW w:w="5105" w:type="dxa"/>
            <w:vAlign w:val="center"/>
          </w:tcPr>
          <w:p w14:paraId="19790B49" w14:textId="77777777" w:rsidR="00707E5F" w:rsidRPr="000273D9" w:rsidRDefault="00707E5F" w:rsidP="000273D9">
            <w:pPr>
              <w:spacing w:before="60" w:after="60"/>
              <w:jc w:val="center"/>
              <w:rPr>
                <w:spacing w:val="-2"/>
                <w:sz w:val="20"/>
                <w:szCs w:val="24"/>
              </w:rPr>
            </w:pPr>
            <w:bookmarkStart w:id="0" w:name="_GoBack"/>
            <w:bookmarkEnd w:id="0"/>
            <w:r w:rsidRPr="000273D9">
              <w:rPr>
                <w:spacing w:val="-2"/>
                <w:sz w:val="20"/>
                <w:szCs w:val="24"/>
              </w:rPr>
              <w:t>US$ bank account</w:t>
            </w:r>
          </w:p>
        </w:tc>
        <w:tc>
          <w:tcPr>
            <w:tcW w:w="4465" w:type="dxa"/>
            <w:vAlign w:val="center"/>
          </w:tcPr>
          <w:p w14:paraId="53B2BEF1" w14:textId="77777777" w:rsidR="00707E5F" w:rsidRPr="000273D9" w:rsidRDefault="00707E5F" w:rsidP="000273D9">
            <w:pPr>
              <w:spacing w:before="60" w:after="60"/>
              <w:jc w:val="center"/>
              <w:rPr>
                <w:spacing w:val="-2"/>
                <w:sz w:val="20"/>
                <w:szCs w:val="24"/>
              </w:rPr>
            </w:pPr>
            <w:r w:rsidRPr="000273D9">
              <w:rPr>
                <w:spacing w:val="-2"/>
                <w:sz w:val="20"/>
                <w:szCs w:val="24"/>
              </w:rPr>
              <w:t>TJS bank account</w:t>
            </w:r>
          </w:p>
        </w:tc>
      </w:tr>
      <w:tr w:rsidR="00707E5F" w:rsidRPr="000273D9" w14:paraId="4479C684" w14:textId="77777777" w:rsidTr="000273D9">
        <w:trPr>
          <w:trHeight w:val="364"/>
        </w:trPr>
        <w:tc>
          <w:tcPr>
            <w:tcW w:w="5105" w:type="dxa"/>
          </w:tcPr>
          <w:p w14:paraId="3346134F" w14:textId="77777777" w:rsidR="00707E5F" w:rsidRPr="000273D9" w:rsidRDefault="00707E5F" w:rsidP="000273D9">
            <w:pPr>
              <w:rPr>
                <w:spacing w:val="-2"/>
                <w:sz w:val="20"/>
                <w:szCs w:val="24"/>
              </w:rPr>
            </w:pPr>
            <w:r w:rsidRPr="000273D9">
              <w:rPr>
                <w:b/>
                <w:spacing w:val="-2"/>
                <w:sz w:val="20"/>
                <w:szCs w:val="24"/>
              </w:rPr>
              <w:t>Beneficiary:</w:t>
            </w:r>
            <w:r w:rsidRPr="000273D9">
              <w:rPr>
                <w:spacing w:val="-2"/>
                <w:sz w:val="20"/>
                <w:szCs w:val="24"/>
              </w:rPr>
              <w:t xml:space="preserve"> Tax Committee under the Government of the Republic of Tajikistan</w:t>
            </w:r>
          </w:p>
        </w:tc>
        <w:tc>
          <w:tcPr>
            <w:tcW w:w="4465" w:type="dxa"/>
          </w:tcPr>
          <w:p w14:paraId="225F7E37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  <w:lang w:val="ru-RU"/>
              </w:rPr>
            </w:pPr>
            <w:r w:rsidRPr="000273D9">
              <w:rPr>
                <w:b/>
                <w:spacing w:val="-2"/>
                <w:sz w:val="20"/>
                <w:szCs w:val="24"/>
                <w:lang w:val="ru-RU"/>
              </w:rPr>
              <w:t>Получатель:</w:t>
            </w:r>
            <w:r w:rsidRPr="000273D9">
              <w:rPr>
                <w:spacing w:val="-2"/>
                <w:sz w:val="20"/>
                <w:szCs w:val="24"/>
                <w:lang w:val="ru-RU"/>
              </w:rPr>
              <w:t xml:space="preserve"> Налоговый комитет при Правительстве Республики Таджикистан</w:t>
            </w:r>
          </w:p>
        </w:tc>
      </w:tr>
      <w:tr w:rsidR="00707E5F" w:rsidRPr="000273D9" w14:paraId="0C3B31A5" w14:textId="77777777" w:rsidTr="000273D9">
        <w:trPr>
          <w:trHeight w:val="364"/>
        </w:trPr>
        <w:tc>
          <w:tcPr>
            <w:tcW w:w="5105" w:type="dxa"/>
          </w:tcPr>
          <w:p w14:paraId="0EC19B2F" w14:textId="77777777" w:rsidR="00707E5F" w:rsidRPr="000273D9" w:rsidRDefault="00707E5F" w:rsidP="000273D9">
            <w:pPr>
              <w:rPr>
                <w:spacing w:val="-2"/>
                <w:sz w:val="20"/>
                <w:szCs w:val="24"/>
                <w:lang w:val="en-GB"/>
              </w:rPr>
            </w:pPr>
            <w:r w:rsidRPr="000273D9">
              <w:rPr>
                <w:spacing w:val="-2"/>
                <w:sz w:val="20"/>
                <w:szCs w:val="24"/>
                <w:lang w:val="en-GB"/>
              </w:rPr>
              <w:t xml:space="preserve">2/42, N. </w:t>
            </w:r>
            <w:proofErr w:type="spellStart"/>
            <w:r w:rsidRPr="000273D9">
              <w:rPr>
                <w:spacing w:val="-2"/>
                <w:sz w:val="20"/>
                <w:szCs w:val="24"/>
                <w:lang w:val="en-GB"/>
              </w:rPr>
              <w:t>Karabayev</w:t>
            </w:r>
            <w:proofErr w:type="spellEnd"/>
            <w:r w:rsidRPr="000273D9">
              <w:rPr>
                <w:spacing w:val="-2"/>
                <w:sz w:val="20"/>
                <w:szCs w:val="24"/>
                <w:lang w:val="en-GB"/>
              </w:rPr>
              <w:t xml:space="preserve"> str., Dushanbe, Tajikistan</w:t>
            </w:r>
          </w:p>
        </w:tc>
        <w:tc>
          <w:tcPr>
            <w:tcW w:w="4465" w:type="dxa"/>
          </w:tcPr>
          <w:p w14:paraId="346B1CC3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  <w:lang w:val="ru-RU"/>
              </w:rPr>
            </w:pPr>
            <w:r w:rsidRPr="000273D9">
              <w:rPr>
                <w:spacing w:val="-2"/>
                <w:sz w:val="20"/>
                <w:szCs w:val="24"/>
                <w:lang w:val="ru-RU"/>
              </w:rPr>
              <w:t xml:space="preserve">2/42, ул. Н. </w:t>
            </w:r>
            <w:proofErr w:type="spellStart"/>
            <w:r w:rsidRPr="000273D9">
              <w:rPr>
                <w:spacing w:val="-2"/>
                <w:sz w:val="20"/>
                <w:szCs w:val="24"/>
                <w:lang w:val="ru-RU"/>
              </w:rPr>
              <w:t>Карабаева</w:t>
            </w:r>
            <w:proofErr w:type="spellEnd"/>
            <w:r w:rsidRPr="000273D9">
              <w:rPr>
                <w:spacing w:val="-2"/>
                <w:sz w:val="20"/>
                <w:szCs w:val="24"/>
                <w:lang w:val="ru-RU"/>
              </w:rPr>
              <w:t>, Душанбе, Таджикистан</w:t>
            </w:r>
          </w:p>
        </w:tc>
      </w:tr>
      <w:tr w:rsidR="00707E5F" w:rsidRPr="000273D9" w14:paraId="6FD8E1B7" w14:textId="77777777" w:rsidTr="000273D9">
        <w:trPr>
          <w:trHeight w:val="203"/>
        </w:trPr>
        <w:tc>
          <w:tcPr>
            <w:tcW w:w="5105" w:type="dxa"/>
          </w:tcPr>
          <w:p w14:paraId="55EC4162" w14:textId="77777777" w:rsidR="00707E5F" w:rsidRPr="000273D9" w:rsidRDefault="00707E5F" w:rsidP="000273D9">
            <w:pPr>
              <w:rPr>
                <w:spacing w:val="-2"/>
                <w:sz w:val="20"/>
                <w:szCs w:val="24"/>
              </w:rPr>
            </w:pPr>
            <w:r w:rsidRPr="000273D9">
              <w:rPr>
                <w:b/>
                <w:spacing w:val="-2"/>
                <w:sz w:val="20"/>
                <w:szCs w:val="24"/>
              </w:rPr>
              <w:t>Account Number:</w:t>
            </w:r>
            <w:r w:rsidRPr="000273D9">
              <w:rPr>
                <w:spacing w:val="-2"/>
                <w:sz w:val="20"/>
                <w:szCs w:val="24"/>
              </w:rPr>
              <w:t xml:space="preserve"> 22696840600081</w:t>
            </w:r>
          </w:p>
        </w:tc>
        <w:tc>
          <w:tcPr>
            <w:tcW w:w="4465" w:type="dxa"/>
          </w:tcPr>
          <w:p w14:paraId="63954084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</w:rPr>
            </w:pPr>
            <w:r w:rsidRPr="000273D9">
              <w:rPr>
                <w:b/>
                <w:spacing w:val="-2"/>
                <w:sz w:val="20"/>
                <w:szCs w:val="24"/>
                <w:lang w:val="ru-RU"/>
              </w:rPr>
              <w:t>Номер счета</w:t>
            </w:r>
            <w:r w:rsidRPr="000273D9">
              <w:rPr>
                <w:spacing w:val="-2"/>
                <w:sz w:val="20"/>
                <w:szCs w:val="24"/>
              </w:rPr>
              <w:t>: 20204972712010100002</w:t>
            </w:r>
          </w:p>
        </w:tc>
      </w:tr>
      <w:tr w:rsidR="00707E5F" w:rsidRPr="000273D9" w14:paraId="5B1C8920" w14:textId="77777777" w:rsidTr="000273D9">
        <w:trPr>
          <w:trHeight w:val="609"/>
        </w:trPr>
        <w:tc>
          <w:tcPr>
            <w:tcW w:w="5105" w:type="dxa"/>
          </w:tcPr>
          <w:p w14:paraId="6E581A8B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</w:rPr>
            </w:pPr>
            <w:r w:rsidRPr="000273D9">
              <w:rPr>
                <w:spacing w:val="-2"/>
                <w:sz w:val="20"/>
                <w:szCs w:val="24"/>
              </w:rPr>
              <w:t>National Bank of Tajikistan</w:t>
            </w:r>
          </w:p>
          <w:p w14:paraId="44FF4A72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</w:rPr>
            </w:pPr>
            <w:r w:rsidRPr="000273D9">
              <w:rPr>
                <w:spacing w:val="-2"/>
                <w:sz w:val="20"/>
                <w:szCs w:val="24"/>
              </w:rPr>
              <w:t xml:space="preserve">23/2 </w:t>
            </w:r>
            <w:proofErr w:type="spellStart"/>
            <w:r w:rsidRPr="000273D9">
              <w:rPr>
                <w:spacing w:val="-2"/>
                <w:sz w:val="20"/>
                <w:szCs w:val="24"/>
              </w:rPr>
              <w:t>Rudaki</w:t>
            </w:r>
            <w:proofErr w:type="spellEnd"/>
            <w:r w:rsidRPr="000273D9">
              <w:rPr>
                <w:spacing w:val="-2"/>
                <w:sz w:val="20"/>
                <w:szCs w:val="24"/>
              </w:rPr>
              <w:t xml:space="preserve"> Avenue </w:t>
            </w:r>
            <w:proofErr w:type="spellStart"/>
            <w:r w:rsidRPr="000273D9">
              <w:rPr>
                <w:spacing w:val="-2"/>
                <w:sz w:val="20"/>
                <w:szCs w:val="24"/>
              </w:rPr>
              <w:t>Dusnanbe</w:t>
            </w:r>
            <w:proofErr w:type="spellEnd"/>
          </w:p>
          <w:p w14:paraId="10D7CC50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</w:rPr>
            </w:pPr>
            <w:r w:rsidRPr="000273D9">
              <w:rPr>
                <w:spacing w:val="-2"/>
                <w:sz w:val="20"/>
                <w:szCs w:val="24"/>
              </w:rPr>
              <w:t>SWIFT: NATJTJ22</w:t>
            </w:r>
          </w:p>
        </w:tc>
        <w:tc>
          <w:tcPr>
            <w:tcW w:w="4465" w:type="dxa"/>
          </w:tcPr>
          <w:p w14:paraId="41C5C4D2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  <w:lang w:val="ru-RU"/>
              </w:rPr>
            </w:pPr>
            <w:r w:rsidRPr="000273D9">
              <w:rPr>
                <w:b/>
                <w:spacing w:val="-2"/>
                <w:sz w:val="20"/>
                <w:szCs w:val="24"/>
                <w:lang w:val="ru-RU"/>
              </w:rPr>
              <w:t>БИК</w:t>
            </w:r>
            <w:r w:rsidRPr="000273D9">
              <w:rPr>
                <w:spacing w:val="-2"/>
                <w:sz w:val="20"/>
                <w:szCs w:val="24"/>
                <w:lang w:val="ru-RU"/>
              </w:rPr>
              <w:t>: 350101800</w:t>
            </w:r>
          </w:p>
        </w:tc>
      </w:tr>
      <w:tr w:rsidR="00707E5F" w:rsidRPr="000273D9" w14:paraId="72F33BB3" w14:textId="77777777" w:rsidTr="000273D9">
        <w:trPr>
          <w:trHeight w:val="406"/>
        </w:trPr>
        <w:tc>
          <w:tcPr>
            <w:tcW w:w="5105" w:type="dxa"/>
          </w:tcPr>
          <w:p w14:paraId="70C56C7C" w14:textId="77777777" w:rsidR="00707E5F" w:rsidRPr="000273D9" w:rsidRDefault="00707E5F" w:rsidP="000273D9">
            <w:pPr>
              <w:spacing w:after="60"/>
              <w:rPr>
                <w:b/>
                <w:spacing w:val="-2"/>
                <w:sz w:val="20"/>
                <w:szCs w:val="24"/>
              </w:rPr>
            </w:pPr>
            <w:r w:rsidRPr="000273D9">
              <w:rPr>
                <w:b/>
                <w:spacing w:val="-2"/>
                <w:sz w:val="20"/>
                <w:szCs w:val="24"/>
              </w:rPr>
              <w:t xml:space="preserve">Corresponding account: </w:t>
            </w:r>
          </w:p>
          <w:p w14:paraId="60DFC569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</w:rPr>
            </w:pPr>
            <w:r w:rsidRPr="000273D9">
              <w:rPr>
                <w:spacing w:val="-2"/>
                <w:sz w:val="20"/>
                <w:szCs w:val="24"/>
              </w:rPr>
              <w:t>400886748300 USD</w:t>
            </w:r>
          </w:p>
        </w:tc>
        <w:tc>
          <w:tcPr>
            <w:tcW w:w="4465" w:type="dxa"/>
          </w:tcPr>
          <w:p w14:paraId="03A52A6F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</w:rPr>
            </w:pPr>
            <w:r w:rsidRPr="000273D9">
              <w:rPr>
                <w:b/>
                <w:spacing w:val="-2"/>
                <w:sz w:val="20"/>
                <w:szCs w:val="24"/>
                <w:lang w:val="ru-RU"/>
              </w:rPr>
              <w:t>Корреспондирующий счет</w:t>
            </w:r>
            <w:r w:rsidRPr="000273D9">
              <w:rPr>
                <w:spacing w:val="-2"/>
                <w:sz w:val="20"/>
                <w:szCs w:val="24"/>
              </w:rPr>
              <w:t>:</w:t>
            </w:r>
          </w:p>
          <w:p w14:paraId="72599D44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  <w:lang w:val="ru-RU"/>
              </w:rPr>
            </w:pPr>
            <w:r w:rsidRPr="000273D9">
              <w:rPr>
                <w:spacing w:val="-2"/>
                <w:sz w:val="20"/>
                <w:szCs w:val="24"/>
              </w:rPr>
              <w:t>20</w:t>
            </w:r>
            <w:r w:rsidRPr="000273D9">
              <w:rPr>
                <w:spacing w:val="-2"/>
                <w:sz w:val="20"/>
                <w:szCs w:val="24"/>
                <w:lang w:val="ru-RU"/>
              </w:rPr>
              <w:t>402972000002</w:t>
            </w:r>
          </w:p>
        </w:tc>
      </w:tr>
      <w:tr w:rsidR="00707E5F" w:rsidRPr="000273D9" w14:paraId="56DCB7EC" w14:textId="77777777" w:rsidTr="000273D9">
        <w:trPr>
          <w:trHeight w:val="364"/>
        </w:trPr>
        <w:tc>
          <w:tcPr>
            <w:tcW w:w="5105" w:type="dxa"/>
          </w:tcPr>
          <w:p w14:paraId="784647EC" w14:textId="77777777" w:rsidR="00707E5F" w:rsidRPr="000273D9" w:rsidRDefault="00707E5F" w:rsidP="000273D9">
            <w:pPr>
              <w:spacing w:after="60"/>
              <w:rPr>
                <w:spacing w:val="-2"/>
                <w:sz w:val="20"/>
                <w:szCs w:val="24"/>
              </w:rPr>
            </w:pPr>
            <w:r w:rsidRPr="000273D9">
              <w:rPr>
                <w:spacing w:val="-2"/>
                <w:sz w:val="20"/>
                <w:szCs w:val="24"/>
              </w:rPr>
              <w:t>COMMERZBANK AG</w:t>
            </w:r>
          </w:p>
          <w:p w14:paraId="3B42195A" w14:textId="77777777" w:rsidR="00707E5F" w:rsidRPr="000273D9" w:rsidRDefault="00707E5F" w:rsidP="000273D9">
            <w:pPr>
              <w:rPr>
                <w:spacing w:val="-2"/>
                <w:sz w:val="20"/>
                <w:szCs w:val="24"/>
              </w:rPr>
            </w:pPr>
            <w:r w:rsidRPr="000273D9">
              <w:rPr>
                <w:spacing w:val="-2"/>
                <w:sz w:val="20"/>
                <w:szCs w:val="24"/>
              </w:rPr>
              <w:t>SWIFT: COBADEFF</w:t>
            </w:r>
          </w:p>
        </w:tc>
        <w:tc>
          <w:tcPr>
            <w:tcW w:w="4465" w:type="dxa"/>
          </w:tcPr>
          <w:p w14:paraId="71D36BD5" w14:textId="77777777" w:rsidR="00707E5F" w:rsidRPr="000273D9" w:rsidRDefault="00707E5F" w:rsidP="000273D9">
            <w:pPr>
              <w:rPr>
                <w:spacing w:val="-2"/>
                <w:sz w:val="20"/>
                <w:szCs w:val="24"/>
                <w:lang w:val="ru-RU"/>
              </w:rPr>
            </w:pPr>
            <w:r w:rsidRPr="000273D9">
              <w:rPr>
                <w:spacing w:val="-2"/>
                <w:sz w:val="20"/>
                <w:szCs w:val="24"/>
                <w:lang w:val="ru-RU"/>
              </w:rPr>
              <w:t>Главное управление ЦК МФ РТ, г. Душанбе</w:t>
            </w:r>
          </w:p>
        </w:tc>
      </w:tr>
    </w:tbl>
    <w:p w14:paraId="1FF35785" w14:textId="77777777" w:rsidR="000273D9" w:rsidRDefault="000273D9" w:rsidP="000273D9">
      <w:pPr>
        <w:numPr>
          <w:ilvl w:val="12"/>
          <w:numId w:val="0"/>
        </w:numPr>
        <w:spacing w:before="120" w:after="120"/>
        <w:jc w:val="both"/>
        <w:rPr>
          <w:spacing w:val="-2"/>
          <w:sz w:val="20"/>
          <w:lang w:val="ru-RU"/>
        </w:rPr>
      </w:pPr>
    </w:p>
    <w:p w14:paraId="55714316" w14:textId="77777777" w:rsidR="000273D9" w:rsidRDefault="000273D9" w:rsidP="000273D9">
      <w:pPr>
        <w:numPr>
          <w:ilvl w:val="12"/>
          <w:numId w:val="0"/>
        </w:numPr>
        <w:spacing w:before="120" w:after="120"/>
        <w:jc w:val="both"/>
        <w:rPr>
          <w:spacing w:val="-2"/>
          <w:sz w:val="20"/>
          <w:lang w:val="ru-RU"/>
        </w:rPr>
      </w:pPr>
    </w:p>
    <w:p w14:paraId="6C88C826" w14:textId="77777777" w:rsidR="00707E5F" w:rsidRPr="000273D9" w:rsidRDefault="00707E5F" w:rsidP="000273D9">
      <w:pPr>
        <w:numPr>
          <w:ilvl w:val="12"/>
          <w:numId w:val="0"/>
        </w:numPr>
        <w:spacing w:before="120" w:after="120"/>
        <w:jc w:val="both"/>
        <w:rPr>
          <w:spacing w:val="-2"/>
          <w:sz w:val="20"/>
          <w:lang w:val="ru-RU"/>
        </w:rPr>
      </w:pPr>
      <w:r w:rsidRPr="000273D9">
        <w:rPr>
          <w:spacing w:val="-2"/>
          <w:sz w:val="20"/>
          <w:lang w:val="ru-RU"/>
        </w:rPr>
        <w:lastRenderedPageBreak/>
        <w:t>Комиссия и сборы, взимаемые банком за перевод, должны быть за счёт участника торгов. Чеки кассира или удостоверенные чеки не приемлемы.</w:t>
      </w:r>
    </w:p>
    <w:p w14:paraId="56735DD4" w14:textId="77777777" w:rsidR="00707E5F" w:rsidRPr="000273D9" w:rsidRDefault="00707E5F" w:rsidP="000273D9">
      <w:pPr>
        <w:numPr>
          <w:ilvl w:val="12"/>
          <w:numId w:val="0"/>
        </w:numPr>
        <w:jc w:val="both"/>
        <w:rPr>
          <w:spacing w:val="-3"/>
          <w:sz w:val="20"/>
          <w:lang w:val="ru-RU"/>
        </w:rPr>
      </w:pPr>
      <w:r w:rsidRPr="000273D9">
        <w:rPr>
          <w:spacing w:val="-2"/>
          <w:sz w:val="20"/>
          <w:lang w:val="ru-RU"/>
        </w:rPr>
        <w:t xml:space="preserve">Уполномоченные представители компаний, зарегистрированных в Республике Таджикистан, могут получить документацию конкурсных торгов по адресу (1), указанному ниже, после представления Налоговому комитету при Правительстве Республики Таджикистан документов, подтверждающих перевод </w:t>
      </w:r>
      <w:r w:rsidRPr="000273D9">
        <w:rPr>
          <w:spacing w:val="-3"/>
          <w:sz w:val="20"/>
          <w:lang w:val="ru-RU"/>
        </w:rPr>
        <w:t xml:space="preserve">невозвращаемого комиссионного сбора на счёт, указанный выше. Документы конкурсных торгов также могут быть направлены компаниям, незарегистрированным в </w:t>
      </w:r>
      <w:r w:rsidRPr="000273D9">
        <w:rPr>
          <w:spacing w:val="-2"/>
          <w:sz w:val="20"/>
          <w:lang w:val="ru-RU"/>
        </w:rPr>
        <w:t xml:space="preserve">Республике Таджикистан, по их запросу и представлению документов, подтверждающих перевод </w:t>
      </w:r>
      <w:r w:rsidRPr="000273D9">
        <w:rPr>
          <w:spacing w:val="-3"/>
          <w:sz w:val="20"/>
          <w:lang w:val="ru-RU"/>
        </w:rPr>
        <w:t>невозвращаемого комиссионного сбора на счёт, указанный выше:</w:t>
      </w:r>
    </w:p>
    <w:p w14:paraId="22E369F4" w14:textId="16AEED2F" w:rsidR="00707E5F" w:rsidRPr="000273D9" w:rsidRDefault="00707E5F" w:rsidP="000273D9">
      <w:pPr>
        <w:numPr>
          <w:ilvl w:val="2"/>
          <w:numId w:val="2"/>
        </w:numPr>
        <w:suppressAutoHyphens/>
        <w:spacing w:after="60"/>
        <w:ind w:left="0" w:firstLine="0"/>
        <w:jc w:val="both"/>
        <w:rPr>
          <w:sz w:val="20"/>
          <w:lang w:val="ru-RU"/>
        </w:rPr>
      </w:pPr>
      <w:r w:rsidRPr="000273D9">
        <w:rPr>
          <w:sz w:val="20"/>
          <w:lang w:val="ru-RU"/>
        </w:rPr>
        <w:t xml:space="preserve">курьером без дополнительной стоимости для компаний после получения Налоговым комитетом </w:t>
      </w:r>
      <w:r w:rsidRPr="000273D9">
        <w:rPr>
          <w:spacing w:val="-2"/>
          <w:sz w:val="20"/>
          <w:lang w:val="ru-RU"/>
        </w:rPr>
        <w:t xml:space="preserve">при Правительстве Республики Таджикистан письменного запроса с указанием номера торгов </w:t>
      </w:r>
      <w:r w:rsidRPr="000273D9">
        <w:rPr>
          <w:sz w:val="20"/>
          <w:lang w:val="en-GB"/>
        </w:rPr>
        <w:t>TJTARP</w:t>
      </w:r>
      <w:r w:rsidRPr="000273D9">
        <w:rPr>
          <w:sz w:val="20"/>
          <w:lang w:val="ru-RU"/>
        </w:rPr>
        <w:t>/</w:t>
      </w:r>
      <w:r w:rsidRPr="000273D9">
        <w:rPr>
          <w:sz w:val="20"/>
          <w:lang w:val="en-GB"/>
        </w:rPr>
        <w:t>G</w:t>
      </w:r>
      <w:r w:rsidRPr="000273D9">
        <w:rPr>
          <w:sz w:val="20"/>
          <w:lang w:val="ru-RU"/>
        </w:rPr>
        <w:t>/</w:t>
      </w:r>
      <w:r w:rsidRPr="000273D9">
        <w:rPr>
          <w:sz w:val="20"/>
          <w:lang w:val="en-GB"/>
        </w:rPr>
        <w:t>ICB</w:t>
      </w:r>
      <w:r w:rsidR="00206E23" w:rsidRPr="000273D9">
        <w:rPr>
          <w:sz w:val="20"/>
          <w:lang w:val="ru-RU"/>
        </w:rPr>
        <w:t>-09</w:t>
      </w:r>
      <w:r w:rsidRPr="000273D9">
        <w:rPr>
          <w:sz w:val="20"/>
          <w:lang w:val="ru-RU"/>
        </w:rPr>
        <w:t>, адреса доставки и контактной информации; или</w:t>
      </w:r>
    </w:p>
    <w:p w14:paraId="09648A9D" w14:textId="77777777" w:rsidR="00707E5F" w:rsidRPr="000273D9" w:rsidRDefault="00707E5F" w:rsidP="000273D9">
      <w:pPr>
        <w:numPr>
          <w:ilvl w:val="2"/>
          <w:numId w:val="2"/>
        </w:numPr>
        <w:suppressAutoHyphens/>
        <w:spacing w:after="60"/>
        <w:ind w:left="0" w:firstLine="0"/>
        <w:jc w:val="both"/>
        <w:rPr>
          <w:sz w:val="20"/>
          <w:lang w:val="ru-RU"/>
        </w:rPr>
      </w:pPr>
      <w:r w:rsidRPr="000273D9">
        <w:rPr>
          <w:sz w:val="20"/>
          <w:lang w:val="ru-RU"/>
        </w:rPr>
        <w:t xml:space="preserve">электронной почтой в виде файла в </w:t>
      </w:r>
      <w:r w:rsidRPr="000273D9">
        <w:rPr>
          <w:sz w:val="20"/>
          <w:lang w:val="en-GB"/>
        </w:rPr>
        <w:t>pdf</w:t>
      </w:r>
      <w:r w:rsidRPr="000273D9">
        <w:rPr>
          <w:sz w:val="20"/>
          <w:lang w:val="ru-RU"/>
        </w:rPr>
        <w:t xml:space="preserve"> формате на электронный адрес, указанный компаниями.</w:t>
      </w:r>
    </w:p>
    <w:p w14:paraId="71265BC2" w14:textId="77777777" w:rsidR="00707E5F" w:rsidRPr="000273D9" w:rsidRDefault="00707E5F" w:rsidP="000273D9">
      <w:pPr>
        <w:numPr>
          <w:ilvl w:val="12"/>
          <w:numId w:val="0"/>
        </w:numPr>
        <w:spacing w:after="120"/>
        <w:jc w:val="both"/>
        <w:rPr>
          <w:sz w:val="20"/>
          <w:lang w:val="ru-RU"/>
        </w:rPr>
      </w:pPr>
      <w:r w:rsidRPr="000273D9">
        <w:rPr>
          <w:sz w:val="20"/>
          <w:lang w:val="ru-RU"/>
        </w:rPr>
        <w:t>7.</w:t>
      </w:r>
      <w:r w:rsidRPr="000273D9">
        <w:rPr>
          <w:sz w:val="20"/>
          <w:lang w:val="ru-RU"/>
        </w:rPr>
        <w:tab/>
        <w:t>Для проведения торгов будет использована двухэтапная процедура, которая заключается в следующем:</w:t>
      </w:r>
    </w:p>
    <w:p w14:paraId="679B208E" w14:textId="29C70BE2" w:rsidR="00707E5F" w:rsidRPr="000273D9" w:rsidRDefault="00707E5F" w:rsidP="000273D9">
      <w:pPr>
        <w:numPr>
          <w:ilvl w:val="12"/>
          <w:numId w:val="0"/>
        </w:numPr>
        <w:jc w:val="both"/>
        <w:rPr>
          <w:sz w:val="20"/>
          <w:lang w:val="ru-RU"/>
        </w:rPr>
      </w:pPr>
      <w:r w:rsidRPr="000273D9">
        <w:rPr>
          <w:sz w:val="20"/>
          <w:lang w:val="ru-RU"/>
        </w:rPr>
        <w:t>(а)</w:t>
      </w:r>
      <w:r w:rsidRPr="000273D9">
        <w:rPr>
          <w:sz w:val="20"/>
          <w:lang w:val="ru-RU"/>
        </w:rPr>
        <w:tab/>
        <w:t xml:space="preserve">На первом этапе конкурсное предложение будет состоять только из технической части без указания цены, но с указанием любых отклонений от технических или коммерческих условий, представленных в документации для торгов, и/или с добавлением какой-либо альтернативы техническим решениям, которую Участник торгов пожелает предложить, а также её обоснование. В любом случае такие отклонения или альтернативные решения не должны существенно влиять на требования, указанные в документации для торгов. После оценки конкурсных предложений первого этапа Участник торгов, который соответствует минимально приемлемому набору квалификационных критериев и который подал конкурсное предложение, в достаточной степени отвечающее техническим требованиям, может быть приглашён на совещание (совещания) для разъяснений, в ходе которого будет рассмотрено конкурсное предложение Участника торгов. Любые изменения, дополнения, изъятия и другие коррективы в отношении конкретного конкурсного предложения будут учтены и запротоколированы или, в случае изменений общего характера будут опубликованы в виде Дополнения к документации для торгов. Участникам торгов может быть </w:t>
      </w:r>
      <w:r w:rsidR="00206E23" w:rsidRPr="000273D9">
        <w:rPr>
          <w:sz w:val="20"/>
          <w:lang w:val="ru-RU"/>
        </w:rPr>
        <w:t xml:space="preserve">не </w:t>
      </w:r>
      <w:r w:rsidRPr="000273D9">
        <w:rPr>
          <w:sz w:val="20"/>
          <w:lang w:val="ru-RU"/>
        </w:rPr>
        <w:t>предложено подать конкурсное предложение на второй этап, если их конкурсные предложения на первом этапе содержат отклонения от требований в таком количестве или носят такой характер, что не представляется возможным в оставшееся время двухэтапной процедуры доработать конкурсные предложения таким образом, чтобы они полностью соответствовали требованиям. Все остальные в достаточной степени квалифицированные Участники торгов, тем не менее, получат приглашения к подаче конкурсных предложений на второй этап.</w:t>
      </w:r>
    </w:p>
    <w:p w14:paraId="453CC3D3" w14:textId="77777777" w:rsidR="00707E5F" w:rsidRPr="000273D9" w:rsidRDefault="00707E5F" w:rsidP="000273D9">
      <w:pPr>
        <w:numPr>
          <w:ilvl w:val="12"/>
          <w:numId w:val="0"/>
        </w:numPr>
        <w:spacing w:after="120"/>
        <w:jc w:val="both"/>
        <w:rPr>
          <w:sz w:val="20"/>
          <w:lang w:val="ru-RU"/>
        </w:rPr>
      </w:pPr>
      <w:r w:rsidRPr="000273D9">
        <w:rPr>
          <w:sz w:val="20"/>
          <w:lang w:val="ru-RU"/>
        </w:rPr>
        <w:t>(</w:t>
      </w:r>
      <w:r w:rsidRPr="000273D9">
        <w:rPr>
          <w:sz w:val="20"/>
        </w:rPr>
        <w:t>b</w:t>
      </w:r>
      <w:r w:rsidRPr="000273D9">
        <w:rPr>
          <w:sz w:val="20"/>
          <w:lang w:val="ru-RU"/>
        </w:rPr>
        <w:t>)</w:t>
      </w:r>
      <w:r w:rsidRPr="000273D9">
        <w:rPr>
          <w:sz w:val="20"/>
          <w:lang w:val="ru-RU"/>
        </w:rPr>
        <w:tab/>
        <w:t>Конкурсное предложение второго этапа будет состоять из (</w:t>
      </w:r>
      <w:proofErr w:type="spellStart"/>
      <w:r w:rsidRPr="000273D9">
        <w:rPr>
          <w:sz w:val="20"/>
        </w:rPr>
        <w:t>i</w:t>
      </w:r>
      <w:proofErr w:type="spellEnd"/>
      <w:r w:rsidRPr="000273D9">
        <w:rPr>
          <w:sz w:val="20"/>
          <w:lang w:val="ru-RU"/>
        </w:rPr>
        <w:t>) доработанного технического предложения, включая все необходимые изменения, как это будет указано в протоколе, и/или по мере необходимости отражение каких-либо требований Дополнения к документации для торгов, выпущенного после первого этапа торгов и (</w:t>
      </w:r>
      <w:r w:rsidRPr="000273D9">
        <w:rPr>
          <w:sz w:val="20"/>
        </w:rPr>
        <w:t>ii</w:t>
      </w:r>
      <w:r w:rsidRPr="000273D9">
        <w:rPr>
          <w:sz w:val="20"/>
          <w:lang w:val="ru-RU"/>
        </w:rPr>
        <w:t>) коммерческого предложения.</w:t>
      </w:r>
    </w:p>
    <w:p w14:paraId="47314022" w14:textId="3E102CCF" w:rsidR="00707E5F" w:rsidRPr="000273D9" w:rsidRDefault="00707E5F" w:rsidP="000273D9">
      <w:pPr>
        <w:numPr>
          <w:ilvl w:val="12"/>
          <w:numId w:val="0"/>
        </w:numPr>
        <w:jc w:val="both"/>
        <w:rPr>
          <w:sz w:val="20"/>
          <w:lang w:val="ru-RU"/>
        </w:rPr>
      </w:pPr>
      <w:r w:rsidRPr="000273D9">
        <w:rPr>
          <w:sz w:val="20"/>
          <w:lang w:val="ru-RU"/>
        </w:rPr>
        <w:t>8.</w:t>
      </w:r>
      <w:r w:rsidRPr="000273D9">
        <w:rPr>
          <w:sz w:val="20"/>
          <w:lang w:val="ru-RU"/>
        </w:rPr>
        <w:tab/>
      </w:r>
      <w:r w:rsidRPr="000273D9">
        <w:rPr>
          <w:spacing w:val="-3"/>
          <w:sz w:val="20"/>
          <w:lang w:val="ru-RU"/>
        </w:rPr>
        <w:t>Конкурсные предложения первого этапа должны быть доставлены по адресу (2), указанному ниже в</w:t>
      </w:r>
      <w:r w:rsidR="00206E23" w:rsidRPr="000273D9">
        <w:rPr>
          <w:spacing w:val="-3"/>
          <w:sz w:val="20"/>
          <w:lang w:val="ru-RU"/>
        </w:rPr>
        <w:t xml:space="preserve"> или до 15</w:t>
      </w:r>
      <w:r w:rsidRPr="000273D9">
        <w:rPr>
          <w:spacing w:val="-3"/>
          <w:sz w:val="20"/>
          <w:lang w:val="ru-RU"/>
        </w:rPr>
        <w:t xml:space="preserve">:00 часов (душанбинское время) 19 </w:t>
      </w:r>
      <w:r w:rsidR="00206E23" w:rsidRPr="000273D9">
        <w:rPr>
          <w:spacing w:val="-3"/>
          <w:sz w:val="20"/>
          <w:lang w:val="ru-RU"/>
        </w:rPr>
        <w:t>сентября</w:t>
      </w:r>
      <w:r w:rsidRPr="000273D9">
        <w:rPr>
          <w:spacing w:val="-3"/>
          <w:sz w:val="20"/>
          <w:lang w:val="ru-RU"/>
        </w:rPr>
        <w:t xml:space="preserve"> 201</w:t>
      </w:r>
      <w:r w:rsidR="00206E23" w:rsidRPr="000273D9">
        <w:rPr>
          <w:spacing w:val="-3"/>
          <w:sz w:val="20"/>
          <w:lang w:val="ru-RU"/>
        </w:rPr>
        <w:t>7</w:t>
      </w:r>
      <w:r w:rsidRPr="000273D9">
        <w:rPr>
          <w:spacing w:val="-3"/>
          <w:sz w:val="20"/>
          <w:lang w:val="ru-RU"/>
        </w:rPr>
        <w:t xml:space="preserve"> г. Опоздавшие конкурсные предложения отклоняются. Конкурсные предложения первого этапа вскрываются в присутствии представителей участников торгов, которые пожелают посетить это мероприятие, по адресу (3</w:t>
      </w:r>
      <w:r w:rsidR="00206E23" w:rsidRPr="000273D9">
        <w:rPr>
          <w:spacing w:val="-3"/>
          <w:sz w:val="20"/>
          <w:lang w:val="ru-RU"/>
        </w:rPr>
        <w:t>), указанному ниже в 15</w:t>
      </w:r>
      <w:r w:rsidRPr="000273D9">
        <w:rPr>
          <w:spacing w:val="-3"/>
          <w:sz w:val="20"/>
          <w:lang w:val="ru-RU"/>
        </w:rPr>
        <w:t xml:space="preserve">:15 (душанбинское время) 19 </w:t>
      </w:r>
      <w:r w:rsidR="00206E23" w:rsidRPr="000273D9">
        <w:rPr>
          <w:spacing w:val="-3"/>
          <w:sz w:val="20"/>
          <w:lang w:val="ru-RU"/>
        </w:rPr>
        <w:t>сентября</w:t>
      </w:r>
      <w:r w:rsidRPr="000273D9">
        <w:rPr>
          <w:spacing w:val="-3"/>
          <w:sz w:val="20"/>
          <w:lang w:val="ru-RU"/>
        </w:rPr>
        <w:t xml:space="preserve"> 201</w:t>
      </w:r>
      <w:r w:rsidR="00206E23" w:rsidRPr="000273D9">
        <w:rPr>
          <w:spacing w:val="-3"/>
          <w:sz w:val="20"/>
          <w:lang w:val="ru-RU"/>
        </w:rPr>
        <w:t>7</w:t>
      </w:r>
      <w:r w:rsidRPr="000273D9">
        <w:rPr>
          <w:spacing w:val="-3"/>
          <w:sz w:val="20"/>
          <w:lang w:val="ru-RU"/>
        </w:rPr>
        <w:t xml:space="preserve"> г.</w:t>
      </w:r>
    </w:p>
    <w:p w14:paraId="477620F5" w14:textId="77777777" w:rsidR="00707E5F" w:rsidRPr="000273D9" w:rsidRDefault="00707E5F" w:rsidP="000273D9">
      <w:pPr>
        <w:numPr>
          <w:ilvl w:val="12"/>
          <w:numId w:val="0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z w:val="20"/>
          <w:lang w:val="ru-RU"/>
        </w:rPr>
      </w:pPr>
    </w:p>
    <w:p w14:paraId="19DB3138" w14:textId="77777777" w:rsidR="00707E5F" w:rsidRPr="000273D9" w:rsidRDefault="00707E5F" w:rsidP="000273D9">
      <w:pPr>
        <w:rPr>
          <w:spacing w:val="-2"/>
          <w:sz w:val="20"/>
          <w:szCs w:val="24"/>
          <w:lang w:val="ru-RU"/>
        </w:rPr>
      </w:pPr>
      <w:r w:rsidRPr="000273D9">
        <w:rPr>
          <w:spacing w:val="-2"/>
          <w:sz w:val="20"/>
          <w:szCs w:val="24"/>
          <w:lang w:val="ru-RU"/>
        </w:rPr>
        <w:t>Адрес (1):</w:t>
      </w:r>
    </w:p>
    <w:p w14:paraId="08FBFF7F" w14:textId="77777777" w:rsidR="00707E5F" w:rsidRPr="000273D9" w:rsidRDefault="00707E5F" w:rsidP="000273D9">
      <w:pPr>
        <w:rPr>
          <w:iCs/>
          <w:spacing w:val="-2"/>
          <w:sz w:val="20"/>
          <w:szCs w:val="24"/>
          <w:lang w:val="ru-RU"/>
        </w:rPr>
      </w:pPr>
      <w:r w:rsidRPr="000273D9">
        <w:rPr>
          <w:iCs/>
          <w:spacing w:val="-2"/>
          <w:sz w:val="20"/>
          <w:szCs w:val="24"/>
          <w:lang w:val="ru-RU"/>
        </w:rPr>
        <w:t>ком. 426/428</w:t>
      </w:r>
    </w:p>
    <w:p w14:paraId="46856FEC" w14:textId="77777777" w:rsidR="00707E5F" w:rsidRPr="000273D9" w:rsidRDefault="00707E5F" w:rsidP="000273D9">
      <w:pPr>
        <w:rPr>
          <w:iCs/>
          <w:spacing w:val="-2"/>
          <w:sz w:val="20"/>
          <w:szCs w:val="24"/>
          <w:lang w:val="ru-RU"/>
        </w:rPr>
      </w:pPr>
      <w:r w:rsidRPr="000273D9">
        <w:rPr>
          <w:iCs/>
          <w:spacing w:val="-2"/>
          <w:sz w:val="20"/>
          <w:szCs w:val="24"/>
          <w:lang w:val="ru-RU"/>
        </w:rPr>
        <w:t xml:space="preserve">вниманию: г. </w:t>
      </w:r>
      <w:proofErr w:type="spellStart"/>
      <w:r w:rsidRPr="000273D9">
        <w:rPr>
          <w:iCs/>
          <w:spacing w:val="-2"/>
          <w:sz w:val="20"/>
          <w:szCs w:val="24"/>
          <w:lang w:val="ru-RU"/>
        </w:rPr>
        <w:t>Солехзода</w:t>
      </w:r>
      <w:proofErr w:type="spellEnd"/>
      <w:r w:rsidRPr="000273D9">
        <w:rPr>
          <w:iCs/>
          <w:spacing w:val="-2"/>
          <w:sz w:val="20"/>
          <w:szCs w:val="24"/>
          <w:lang w:val="ru-RU"/>
        </w:rPr>
        <w:t xml:space="preserve"> </w:t>
      </w:r>
      <w:r w:rsidRPr="000273D9">
        <w:rPr>
          <w:iCs/>
          <w:spacing w:val="-2"/>
          <w:sz w:val="20"/>
          <w:szCs w:val="24"/>
        </w:rPr>
        <w:t>A</w:t>
      </w:r>
      <w:r w:rsidRPr="000273D9">
        <w:rPr>
          <w:iCs/>
          <w:spacing w:val="-2"/>
          <w:sz w:val="20"/>
          <w:szCs w:val="24"/>
          <w:lang w:val="ru-RU"/>
        </w:rPr>
        <w:t xml:space="preserve">. </w:t>
      </w:r>
      <w:r w:rsidRPr="000273D9">
        <w:rPr>
          <w:iCs/>
          <w:spacing w:val="-2"/>
          <w:sz w:val="20"/>
          <w:szCs w:val="24"/>
        </w:rPr>
        <w:t>M</w:t>
      </w:r>
      <w:r w:rsidRPr="000273D9">
        <w:rPr>
          <w:iCs/>
          <w:spacing w:val="-2"/>
          <w:sz w:val="20"/>
          <w:szCs w:val="24"/>
          <w:lang w:val="ru-RU"/>
        </w:rPr>
        <w:t>.</w:t>
      </w:r>
    </w:p>
    <w:p w14:paraId="082380D6" w14:textId="77777777" w:rsidR="00707E5F" w:rsidRPr="000273D9" w:rsidRDefault="00707E5F" w:rsidP="000273D9">
      <w:pPr>
        <w:tabs>
          <w:tab w:val="right" w:pos="7254"/>
        </w:tabs>
        <w:rPr>
          <w:i/>
          <w:sz w:val="20"/>
          <w:lang w:val="ru-RU"/>
        </w:rPr>
      </w:pPr>
      <w:r w:rsidRPr="000273D9">
        <w:rPr>
          <w:sz w:val="20"/>
          <w:lang w:val="ru-RU"/>
        </w:rPr>
        <w:t xml:space="preserve">42/2 ул. Н. </w:t>
      </w:r>
      <w:proofErr w:type="spellStart"/>
      <w:r w:rsidRPr="000273D9">
        <w:rPr>
          <w:sz w:val="20"/>
          <w:lang w:val="ru-RU"/>
        </w:rPr>
        <w:t>Карабаева</w:t>
      </w:r>
      <w:proofErr w:type="spellEnd"/>
    </w:p>
    <w:p w14:paraId="55124BE3" w14:textId="77777777" w:rsidR="00707E5F" w:rsidRPr="000273D9" w:rsidRDefault="00707E5F" w:rsidP="000273D9">
      <w:pPr>
        <w:tabs>
          <w:tab w:val="right" w:pos="7254"/>
        </w:tabs>
        <w:rPr>
          <w:sz w:val="20"/>
          <w:lang w:val="ru-RU"/>
        </w:rPr>
      </w:pPr>
      <w:r w:rsidRPr="000273D9">
        <w:rPr>
          <w:sz w:val="20"/>
          <w:lang w:val="ru-RU"/>
        </w:rPr>
        <w:t>Душанбе, 734018, Таджикистан</w:t>
      </w:r>
    </w:p>
    <w:p w14:paraId="39F61B82" w14:textId="77777777" w:rsidR="00707E5F" w:rsidRPr="000273D9" w:rsidRDefault="00707E5F" w:rsidP="000273D9">
      <w:pPr>
        <w:tabs>
          <w:tab w:val="right" w:pos="7254"/>
        </w:tabs>
        <w:rPr>
          <w:sz w:val="20"/>
          <w:lang w:val="ru-RU"/>
        </w:rPr>
      </w:pPr>
      <w:r w:rsidRPr="000273D9">
        <w:rPr>
          <w:sz w:val="20"/>
          <w:lang w:val="ru-RU"/>
        </w:rPr>
        <w:t>тел.: +992 37</w:t>
      </w:r>
      <w:r w:rsidRPr="000273D9">
        <w:rPr>
          <w:sz w:val="20"/>
          <w:lang w:val="en-GB"/>
        </w:rPr>
        <w:t> </w:t>
      </w:r>
      <w:r w:rsidRPr="000273D9">
        <w:rPr>
          <w:sz w:val="20"/>
          <w:lang w:val="ru-RU"/>
        </w:rPr>
        <w:t>233 08 38</w:t>
      </w:r>
    </w:p>
    <w:p w14:paraId="318A0E1D" w14:textId="77777777" w:rsidR="00707E5F" w:rsidRPr="000273D9" w:rsidRDefault="00707E5F" w:rsidP="000273D9">
      <w:pPr>
        <w:tabs>
          <w:tab w:val="right" w:pos="7254"/>
        </w:tabs>
        <w:spacing w:after="240"/>
        <w:rPr>
          <w:sz w:val="20"/>
          <w:lang w:val="ru-RU"/>
        </w:rPr>
      </w:pPr>
      <w:r w:rsidRPr="000273D9">
        <w:rPr>
          <w:sz w:val="20"/>
          <w:lang w:val="ru-RU"/>
        </w:rPr>
        <w:t xml:space="preserve">электронный адрес: </w:t>
      </w:r>
      <w:hyperlink r:id="rId5" w:history="1">
        <w:r w:rsidRPr="000273D9">
          <w:rPr>
            <w:sz w:val="20"/>
            <w:lang w:val="en-GB"/>
          </w:rPr>
          <w:t>TARP</w:t>
        </w:r>
        <w:r w:rsidRPr="000273D9">
          <w:rPr>
            <w:sz w:val="20"/>
            <w:lang w:val="ru-RU"/>
          </w:rPr>
          <w:t>@</w:t>
        </w:r>
        <w:proofErr w:type="spellStart"/>
        <w:r w:rsidRPr="000273D9">
          <w:rPr>
            <w:sz w:val="20"/>
            <w:lang w:val="en-GB"/>
          </w:rPr>
          <w:t>andoz</w:t>
        </w:r>
        <w:proofErr w:type="spellEnd"/>
        <w:r w:rsidRPr="000273D9">
          <w:rPr>
            <w:sz w:val="20"/>
            <w:lang w:val="ru-RU"/>
          </w:rPr>
          <w:t>.</w:t>
        </w:r>
        <w:proofErr w:type="spellStart"/>
        <w:r w:rsidRPr="000273D9">
          <w:rPr>
            <w:sz w:val="20"/>
            <w:lang w:val="en-GB"/>
          </w:rPr>
          <w:t>tj</w:t>
        </w:r>
        <w:proofErr w:type="spellEnd"/>
      </w:hyperlink>
    </w:p>
    <w:p w14:paraId="184C37BE" w14:textId="77777777" w:rsidR="00707E5F" w:rsidRPr="000273D9" w:rsidRDefault="00707E5F" w:rsidP="000273D9">
      <w:pPr>
        <w:rPr>
          <w:iCs/>
          <w:spacing w:val="-2"/>
          <w:sz w:val="20"/>
          <w:szCs w:val="24"/>
          <w:lang w:val="ru-RU"/>
        </w:rPr>
      </w:pPr>
      <w:r w:rsidRPr="000273D9">
        <w:rPr>
          <w:iCs/>
          <w:spacing w:val="-2"/>
          <w:sz w:val="20"/>
          <w:szCs w:val="24"/>
          <w:lang w:val="ru-RU"/>
        </w:rPr>
        <w:t>Адрес (2)</w:t>
      </w:r>
    </w:p>
    <w:p w14:paraId="3F033942" w14:textId="77777777" w:rsidR="00707E5F" w:rsidRPr="000273D9" w:rsidRDefault="00707E5F" w:rsidP="000273D9">
      <w:pPr>
        <w:pStyle w:val="a3"/>
        <w:spacing w:after="0"/>
        <w:rPr>
          <w:szCs w:val="24"/>
          <w:lang w:val="ru-RU"/>
        </w:rPr>
      </w:pPr>
      <w:r w:rsidRPr="000273D9">
        <w:rPr>
          <w:szCs w:val="24"/>
          <w:lang w:val="ru-RU"/>
        </w:rPr>
        <w:t>Первый этаж, ком. 22</w:t>
      </w:r>
    </w:p>
    <w:p w14:paraId="79B86C85" w14:textId="77777777" w:rsidR="00707E5F" w:rsidRPr="000273D9" w:rsidRDefault="00707E5F" w:rsidP="000273D9">
      <w:pPr>
        <w:rPr>
          <w:iCs/>
          <w:spacing w:val="-2"/>
          <w:sz w:val="20"/>
          <w:szCs w:val="24"/>
          <w:lang w:val="ru-RU"/>
        </w:rPr>
      </w:pPr>
      <w:r w:rsidRPr="000273D9">
        <w:rPr>
          <w:iCs/>
          <w:spacing w:val="-2"/>
          <w:sz w:val="20"/>
          <w:szCs w:val="24"/>
          <w:lang w:val="ru-RU"/>
        </w:rPr>
        <w:t xml:space="preserve">вниманию: г. </w:t>
      </w:r>
      <w:proofErr w:type="spellStart"/>
      <w:r w:rsidRPr="000273D9">
        <w:rPr>
          <w:iCs/>
          <w:spacing w:val="-2"/>
          <w:sz w:val="20"/>
          <w:szCs w:val="24"/>
          <w:lang w:val="ru-RU"/>
        </w:rPr>
        <w:t>Солехзода</w:t>
      </w:r>
      <w:proofErr w:type="spellEnd"/>
      <w:r w:rsidRPr="000273D9">
        <w:rPr>
          <w:iCs/>
          <w:spacing w:val="-2"/>
          <w:sz w:val="20"/>
          <w:szCs w:val="24"/>
          <w:lang w:val="ru-RU"/>
        </w:rPr>
        <w:t xml:space="preserve"> </w:t>
      </w:r>
      <w:r w:rsidRPr="000273D9">
        <w:rPr>
          <w:iCs/>
          <w:spacing w:val="-2"/>
          <w:sz w:val="20"/>
          <w:szCs w:val="24"/>
        </w:rPr>
        <w:t>A</w:t>
      </w:r>
      <w:r w:rsidRPr="000273D9">
        <w:rPr>
          <w:iCs/>
          <w:spacing w:val="-2"/>
          <w:sz w:val="20"/>
          <w:szCs w:val="24"/>
          <w:lang w:val="ru-RU"/>
        </w:rPr>
        <w:t xml:space="preserve">. </w:t>
      </w:r>
      <w:r w:rsidRPr="000273D9">
        <w:rPr>
          <w:iCs/>
          <w:spacing w:val="-2"/>
          <w:sz w:val="20"/>
          <w:szCs w:val="24"/>
        </w:rPr>
        <w:t>M</w:t>
      </w:r>
      <w:r w:rsidRPr="000273D9">
        <w:rPr>
          <w:iCs/>
          <w:spacing w:val="-2"/>
          <w:sz w:val="20"/>
          <w:szCs w:val="24"/>
          <w:lang w:val="ru-RU"/>
        </w:rPr>
        <w:t>.</w:t>
      </w:r>
    </w:p>
    <w:p w14:paraId="33281876" w14:textId="77777777" w:rsidR="00707E5F" w:rsidRPr="000273D9" w:rsidRDefault="00707E5F" w:rsidP="000273D9">
      <w:pPr>
        <w:rPr>
          <w:sz w:val="20"/>
          <w:lang w:val="ru-RU"/>
        </w:rPr>
      </w:pPr>
      <w:r w:rsidRPr="000273D9">
        <w:rPr>
          <w:sz w:val="20"/>
          <w:lang w:val="ru-RU"/>
        </w:rPr>
        <w:t xml:space="preserve">Государственный комитет по инвестициям и управлению государственным имуществом Республики Таджикистан </w:t>
      </w:r>
    </w:p>
    <w:p w14:paraId="243F414F" w14:textId="77777777" w:rsidR="00707E5F" w:rsidRPr="000273D9" w:rsidRDefault="00707E5F" w:rsidP="000273D9">
      <w:pPr>
        <w:rPr>
          <w:sz w:val="20"/>
          <w:lang w:val="ru-RU"/>
        </w:rPr>
      </w:pPr>
      <w:r w:rsidRPr="000273D9">
        <w:rPr>
          <w:sz w:val="20"/>
          <w:lang w:val="ru-RU"/>
        </w:rPr>
        <w:t xml:space="preserve">27, ул. </w:t>
      </w:r>
      <w:proofErr w:type="spellStart"/>
      <w:r w:rsidRPr="000273D9">
        <w:rPr>
          <w:sz w:val="20"/>
          <w:lang w:val="ru-RU"/>
        </w:rPr>
        <w:t>Шотемур</w:t>
      </w:r>
      <w:proofErr w:type="spellEnd"/>
    </w:p>
    <w:p w14:paraId="29B93065" w14:textId="77777777" w:rsidR="00707E5F" w:rsidRPr="000273D9" w:rsidRDefault="00707E5F" w:rsidP="000273D9">
      <w:pPr>
        <w:spacing w:after="240"/>
        <w:rPr>
          <w:sz w:val="20"/>
          <w:lang w:val="ru-RU"/>
        </w:rPr>
      </w:pPr>
      <w:r w:rsidRPr="000273D9">
        <w:rPr>
          <w:sz w:val="20"/>
          <w:lang w:val="ru-RU"/>
        </w:rPr>
        <w:t>Душанбе, 734018, Таджикистан</w:t>
      </w:r>
    </w:p>
    <w:p w14:paraId="40824B1D" w14:textId="77777777" w:rsidR="00707E5F" w:rsidRPr="000273D9" w:rsidRDefault="00707E5F" w:rsidP="000273D9">
      <w:pPr>
        <w:rPr>
          <w:iCs/>
          <w:spacing w:val="-2"/>
          <w:sz w:val="20"/>
          <w:szCs w:val="24"/>
          <w:lang w:val="ru-RU"/>
        </w:rPr>
      </w:pPr>
      <w:r w:rsidRPr="000273D9">
        <w:rPr>
          <w:iCs/>
          <w:spacing w:val="-2"/>
          <w:sz w:val="20"/>
          <w:szCs w:val="24"/>
          <w:lang w:val="ru-RU"/>
        </w:rPr>
        <w:t>Адрес (3):</w:t>
      </w:r>
    </w:p>
    <w:p w14:paraId="618868C1" w14:textId="77777777" w:rsidR="00707E5F" w:rsidRPr="000273D9" w:rsidRDefault="00707E5F" w:rsidP="000273D9">
      <w:pPr>
        <w:rPr>
          <w:sz w:val="20"/>
          <w:lang w:val="ru-RU"/>
        </w:rPr>
      </w:pPr>
      <w:r w:rsidRPr="000273D9">
        <w:rPr>
          <w:sz w:val="20"/>
          <w:lang w:val="ru-RU"/>
        </w:rPr>
        <w:t>ком. 9</w:t>
      </w:r>
    </w:p>
    <w:p w14:paraId="4927B06B" w14:textId="77777777" w:rsidR="00707E5F" w:rsidRPr="000273D9" w:rsidRDefault="00707E5F" w:rsidP="000273D9">
      <w:pPr>
        <w:rPr>
          <w:sz w:val="20"/>
          <w:lang w:val="ru-RU"/>
        </w:rPr>
      </w:pPr>
      <w:r w:rsidRPr="000273D9">
        <w:rPr>
          <w:sz w:val="20"/>
          <w:lang w:val="ru-RU"/>
        </w:rPr>
        <w:t xml:space="preserve">Государственный комитет по инвестициям и управлению государственным имуществом Республики Таджикистан </w:t>
      </w:r>
    </w:p>
    <w:p w14:paraId="12A7DFD3" w14:textId="77777777" w:rsidR="00707E5F" w:rsidRPr="000273D9" w:rsidRDefault="00707E5F" w:rsidP="000273D9">
      <w:pPr>
        <w:rPr>
          <w:sz w:val="20"/>
          <w:lang w:val="ru-RU"/>
        </w:rPr>
      </w:pPr>
      <w:r w:rsidRPr="000273D9">
        <w:rPr>
          <w:sz w:val="20"/>
          <w:lang w:val="ru-RU"/>
        </w:rPr>
        <w:t xml:space="preserve">27, ул. </w:t>
      </w:r>
      <w:proofErr w:type="spellStart"/>
      <w:r w:rsidRPr="000273D9">
        <w:rPr>
          <w:sz w:val="20"/>
          <w:lang w:val="ru-RU"/>
        </w:rPr>
        <w:t>Шотемур</w:t>
      </w:r>
      <w:proofErr w:type="spellEnd"/>
    </w:p>
    <w:p w14:paraId="4D426B28" w14:textId="77777777" w:rsidR="00707E5F" w:rsidRPr="000273D9" w:rsidRDefault="00707E5F" w:rsidP="000273D9">
      <w:pPr>
        <w:spacing w:after="240"/>
        <w:rPr>
          <w:sz w:val="20"/>
          <w:lang w:val="ru-RU"/>
        </w:rPr>
      </w:pPr>
      <w:r w:rsidRPr="000273D9">
        <w:rPr>
          <w:sz w:val="20"/>
          <w:lang w:val="ru-RU"/>
        </w:rPr>
        <w:t>Душанбе, Таджикистан</w:t>
      </w:r>
    </w:p>
    <w:p w14:paraId="3D79F6A9" w14:textId="77777777" w:rsidR="009C6066" w:rsidRPr="000273D9" w:rsidRDefault="000273D9" w:rsidP="000273D9">
      <w:pPr>
        <w:rPr>
          <w:sz w:val="20"/>
          <w:lang w:val="en-GB"/>
        </w:rPr>
      </w:pPr>
    </w:p>
    <w:sectPr w:rsidR="009C6066" w:rsidRPr="000273D9" w:rsidSect="000273D9">
      <w:pgSz w:w="11900" w:h="16840"/>
      <w:pgMar w:top="709" w:right="843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D6EFB"/>
    <w:multiLevelType w:val="hybridMultilevel"/>
    <w:tmpl w:val="6BFAC2FE"/>
    <w:lvl w:ilvl="0" w:tplc="35F0AF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946E7"/>
    <w:multiLevelType w:val="multilevel"/>
    <w:tmpl w:val="44828AB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97"/>
    <w:rsid w:val="000273D9"/>
    <w:rsid w:val="00063E80"/>
    <w:rsid w:val="00094E05"/>
    <w:rsid w:val="00206E23"/>
    <w:rsid w:val="00267C70"/>
    <w:rsid w:val="0043460D"/>
    <w:rsid w:val="0052634D"/>
    <w:rsid w:val="0057046C"/>
    <w:rsid w:val="005F24F0"/>
    <w:rsid w:val="006B5D78"/>
    <w:rsid w:val="00707E5F"/>
    <w:rsid w:val="0074550A"/>
    <w:rsid w:val="007D68D3"/>
    <w:rsid w:val="008E25DF"/>
    <w:rsid w:val="00A54CBC"/>
    <w:rsid w:val="00C34A5B"/>
    <w:rsid w:val="00C93D12"/>
    <w:rsid w:val="00CB2FAC"/>
    <w:rsid w:val="00CF04AF"/>
    <w:rsid w:val="00D14D12"/>
    <w:rsid w:val="00D16A2D"/>
    <w:rsid w:val="00D44B7F"/>
    <w:rsid w:val="00DA639E"/>
    <w:rsid w:val="00DC5021"/>
    <w:rsid w:val="00DF3882"/>
    <w:rsid w:val="00E33B70"/>
    <w:rsid w:val="00E42DEA"/>
    <w:rsid w:val="00EA5F5C"/>
    <w:rsid w:val="00ED2E67"/>
    <w:rsid w:val="00F00697"/>
    <w:rsid w:val="00F446F9"/>
    <w:rsid w:val="00F969A9"/>
    <w:rsid w:val="00FE1D7F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91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5F"/>
    <w:rPr>
      <w:rFonts w:ascii="Times New Roman" w:eastAsia="Times New Roman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707E5F"/>
    <w:pPr>
      <w:pBdr>
        <w:bottom w:val="single" w:sz="24" w:space="3" w:color="C0C0C0"/>
      </w:pBdr>
      <w:suppressAutoHyphens/>
      <w:spacing w:after="120"/>
      <w:jc w:val="center"/>
      <w:outlineLvl w:val="1"/>
    </w:pPr>
    <w:rPr>
      <w:rFonts w:ascii="Times New Roman Bold" w:hAnsi="Times New Roman Bol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7E5F"/>
    <w:rPr>
      <w:rFonts w:ascii="Times New Roman Bold" w:eastAsia="Times New Roman" w:hAnsi="Times New Roman Bold" w:cs="Times New Roman"/>
      <w:b/>
      <w:sz w:val="28"/>
      <w:szCs w:val="20"/>
    </w:rPr>
  </w:style>
  <w:style w:type="character" w:customStyle="1" w:styleId="preparersnote">
    <w:name w:val="preparer's note"/>
    <w:rsid w:val="00707E5F"/>
    <w:rPr>
      <w:b/>
      <w:i/>
      <w:iCs/>
    </w:rPr>
  </w:style>
  <w:style w:type="paragraph" w:styleId="a3">
    <w:name w:val="footer"/>
    <w:basedOn w:val="a"/>
    <w:link w:val="a4"/>
    <w:uiPriority w:val="99"/>
    <w:rsid w:val="00707E5F"/>
    <w:pPr>
      <w:suppressAutoHyphens/>
      <w:spacing w:after="120"/>
      <w:jc w:val="both"/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07E5F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">
    <w:name w:val="Style1"/>
    <w:rsid w:val="00707E5F"/>
    <w:rPr>
      <w:rFonts w:ascii="Century Gothic" w:hAnsi="Century Gothic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P@andoz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1815</Words>
  <Characters>10346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Приглашение к участию в торгах  – Первый этап</vt:lpstr>
    </vt:vector>
  </TitlesOfParts>
  <Company>Hewlett-Packard Company</Company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Siarhei Prozarau</dc:creator>
  <cp:keywords/>
  <dc:description/>
  <cp:lastModifiedBy>Jahonbek Mirzoev</cp:lastModifiedBy>
  <cp:revision>14</cp:revision>
  <dcterms:created xsi:type="dcterms:W3CDTF">2017-07-13T21:26:00Z</dcterms:created>
  <dcterms:modified xsi:type="dcterms:W3CDTF">2017-07-14T10:39:00Z</dcterms:modified>
</cp:coreProperties>
</file>